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7B08" w14:textId="77777777" w:rsidR="002209EA" w:rsidRPr="00220C3A" w:rsidRDefault="009F1C14" w:rsidP="00393E8C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Literacy Design Collaborative in 20</w:t>
      </w:r>
      <w:r w:rsidR="002F5DEF">
        <w:rPr>
          <w:rFonts w:asciiTheme="minorHAnsi" w:hAnsiTheme="minorHAnsi" w:cstheme="minorHAnsi"/>
          <w:b w:val="0"/>
          <w:color w:val="auto"/>
          <w:sz w:val="28"/>
          <w:szCs w:val="28"/>
        </w:rPr>
        <w:t>15-2016</w:t>
      </w:r>
    </w:p>
    <w:p w14:paraId="729E8545" w14:textId="77777777" w:rsidR="00393E8C" w:rsidRDefault="00393E8C" w:rsidP="00393E8C">
      <w:pPr>
        <w:pStyle w:val="Heading3"/>
        <w:spacing w:before="0" w:line="240" w:lineRule="auto"/>
      </w:pPr>
    </w:p>
    <w:p w14:paraId="466B9E14" w14:textId="77777777" w:rsidR="0008327E" w:rsidRDefault="008D4406" w:rsidP="00393E8C">
      <w:pPr>
        <w:pStyle w:val="Heading3"/>
        <w:spacing w:before="0" w:line="240" w:lineRule="auto"/>
      </w:pPr>
      <w:r>
        <w:t>Introduction</w:t>
      </w:r>
    </w:p>
    <w:p w14:paraId="299C4267" w14:textId="77777777" w:rsidR="00393E8C" w:rsidRDefault="00393E8C" w:rsidP="00393E8C">
      <w:pPr>
        <w:pStyle w:val="Default"/>
        <w:rPr>
          <w:rFonts w:asciiTheme="minorHAnsi" w:hAnsiTheme="minorHAnsi"/>
          <w:sz w:val="22"/>
          <w:szCs w:val="22"/>
        </w:rPr>
      </w:pPr>
    </w:p>
    <w:p w14:paraId="6AAC3ACA" w14:textId="77777777" w:rsidR="008D4406" w:rsidRDefault="00E46A64" w:rsidP="00393E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L</w:t>
      </w:r>
      <w:r w:rsidR="00F3444D">
        <w:rPr>
          <w:rFonts w:asciiTheme="minorHAnsi" w:hAnsiTheme="minorHAnsi"/>
          <w:sz w:val="22"/>
          <w:szCs w:val="22"/>
        </w:rPr>
        <w:t xml:space="preserve">iteracy </w:t>
      </w:r>
      <w:r w:rsidRPr="009F1C14">
        <w:rPr>
          <w:rFonts w:asciiTheme="minorHAnsi" w:hAnsiTheme="minorHAnsi"/>
          <w:sz w:val="22"/>
          <w:szCs w:val="22"/>
        </w:rPr>
        <w:t>D</w:t>
      </w:r>
      <w:r w:rsidR="00F3444D">
        <w:rPr>
          <w:rFonts w:asciiTheme="minorHAnsi" w:hAnsiTheme="minorHAnsi"/>
          <w:sz w:val="22"/>
          <w:szCs w:val="22"/>
        </w:rPr>
        <w:t xml:space="preserve">esign </w:t>
      </w:r>
      <w:r w:rsidRPr="009F1C14">
        <w:rPr>
          <w:rFonts w:asciiTheme="minorHAnsi" w:hAnsiTheme="minorHAnsi"/>
          <w:sz w:val="22"/>
          <w:szCs w:val="22"/>
        </w:rPr>
        <w:t>C</w:t>
      </w:r>
      <w:r w:rsidR="00F3444D">
        <w:rPr>
          <w:rFonts w:asciiTheme="minorHAnsi" w:hAnsiTheme="minorHAnsi"/>
          <w:sz w:val="22"/>
          <w:szCs w:val="22"/>
        </w:rPr>
        <w:t>ollaborative</w:t>
      </w:r>
      <w:r w:rsidRPr="009F1C14">
        <w:rPr>
          <w:rFonts w:asciiTheme="minorHAnsi" w:hAnsiTheme="minorHAnsi"/>
          <w:sz w:val="22"/>
          <w:szCs w:val="22"/>
        </w:rPr>
        <w:t xml:space="preserve"> </w:t>
      </w:r>
      <w:r w:rsidR="00F3444D">
        <w:rPr>
          <w:rFonts w:asciiTheme="minorHAnsi" w:hAnsiTheme="minorHAnsi"/>
          <w:sz w:val="22"/>
          <w:szCs w:val="22"/>
        </w:rPr>
        <w:t xml:space="preserve">(LDC) </w:t>
      </w:r>
      <w:r w:rsidRPr="009F1C14">
        <w:rPr>
          <w:rFonts w:asciiTheme="minorHAnsi" w:hAnsiTheme="minorHAnsi"/>
          <w:sz w:val="22"/>
          <w:szCs w:val="22"/>
        </w:rPr>
        <w:t xml:space="preserve">is a framework for preparing students </w:t>
      </w:r>
      <w:r w:rsidR="00421AB7" w:rsidRPr="009F1C14">
        <w:rPr>
          <w:rFonts w:asciiTheme="minorHAnsi" w:hAnsiTheme="minorHAnsi"/>
          <w:sz w:val="22"/>
          <w:szCs w:val="22"/>
        </w:rPr>
        <w:t xml:space="preserve">for college and </w:t>
      </w:r>
      <w:r w:rsidRPr="009F1C14">
        <w:rPr>
          <w:rFonts w:asciiTheme="minorHAnsi" w:hAnsiTheme="minorHAnsi"/>
          <w:sz w:val="22"/>
          <w:szCs w:val="22"/>
        </w:rPr>
        <w:t xml:space="preserve">career </w:t>
      </w:r>
      <w:r w:rsidR="00CE5579" w:rsidRPr="009F1C14">
        <w:rPr>
          <w:rFonts w:asciiTheme="minorHAnsi" w:hAnsiTheme="minorHAnsi"/>
          <w:sz w:val="22"/>
          <w:szCs w:val="22"/>
        </w:rPr>
        <w:t>by engaging s</w:t>
      </w:r>
      <w:r w:rsidRPr="009F1C14">
        <w:rPr>
          <w:rFonts w:asciiTheme="minorHAnsi" w:hAnsiTheme="minorHAnsi"/>
          <w:sz w:val="22"/>
          <w:szCs w:val="22"/>
        </w:rPr>
        <w:t>cience, social studies</w:t>
      </w:r>
      <w:r w:rsidRPr="009F1C14">
        <w:rPr>
          <w:rFonts w:asciiTheme="minorHAnsi" w:hAnsiTheme="minorHAnsi"/>
          <w:color w:val="auto"/>
          <w:sz w:val="22"/>
          <w:szCs w:val="22"/>
        </w:rPr>
        <w:t xml:space="preserve">, and ELA middle and high school students </w:t>
      </w:r>
      <w:r w:rsidR="00CE5579" w:rsidRPr="009F1C14">
        <w:rPr>
          <w:rFonts w:asciiTheme="minorHAnsi" w:hAnsiTheme="minorHAnsi"/>
          <w:color w:val="auto"/>
          <w:sz w:val="22"/>
          <w:szCs w:val="22"/>
        </w:rPr>
        <w:t>in</w:t>
      </w:r>
      <w:r w:rsidRPr="009F1C14">
        <w:rPr>
          <w:rFonts w:asciiTheme="minorHAnsi" w:hAnsiTheme="minorHAnsi"/>
          <w:color w:val="auto"/>
          <w:sz w:val="22"/>
          <w:szCs w:val="22"/>
        </w:rPr>
        <w:t>:</w:t>
      </w:r>
    </w:p>
    <w:p w14:paraId="6C583B43" w14:textId="77777777"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Regular practice with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complex text</w:t>
      </w:r>
      <w:r>
        <w:rPr>
          <w:rFonts w:asciiTheme="minorHAnsi" w:hAnsiTheme="minorHAnsi"/>
          <w:color w:val="auto"/>
          <w:sz w:val="22"/>
          <w:szCs w:val="22"/>
        </w:rPr>
        <w:t xml:space="preserve"> and its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academic language</w:t>
      </w:r>
    </w:p>
    <w:p w14:paraId="0FE6580D" w14:textId="77777777"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F3444D">
        <w:rPr>
          <w:rFonts w:asciiTheme="minorHAnsi" w:hAnsiTheme="minorHAnsi"/>
          <w:b/>
          <w:color w:val="auto"/>
          <w:sz w:val="22"/>
          <w:szCs w:val="22"/>
        </w:rPr>
        <w:t>Building knowledge</w:t>
      </w:r>
      <w:r>
        <w:rPr>
          <w:rFonts w:asciiTheme="minorHAnsi" w:hAnsiTheme="minorHAnsi"/>
          <w:color w:val="auto"/>
          <w:sz w:val="22"/>
          <w:szCs w:val="22"/>
        </w:rPr>
        <w:t xml:space="preserve"> through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content-rich non-fiction</w:t>
      </w:r>
    </w:p>
    <w:p w14:paraId="12CCB4FB" w14:textId="77777777"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Reading, writing, and speaking grounded in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evidence from text</w:t>
      </w:r>
      <w:r>
        <w:rPr>
          <w:rFonts w:asciiTheme="minorHAnsi" w:hAnsiTheme="minorHAnsi"/>
          <w:color w:val="auto"/>
          <w:sz w:val="22"/>
          <w:szCs w:val="22"/>
        </w:rPr>
        <w:t>, both literary and informational</w:t>
      </w:r>
    </w:p>
    <w:p w14:paraId="5247B4E2" w14:textId="77777777" w:rsidR="00FE33F9" w:rsidRDefault="00FE33F9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F328AE" w14:textId="77777777" w:rsidR="00FE33F9" w:rsidRDefault="002F5DEF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LDC supports </w:t>
      </w:r>
      <w:r w:rsidR="00D31F7F">
        <w:rPr>
          <w:rFonts w:asciiTheme="minorHAnsi" w:hAnsiTheme="minorHAnsi"/>
          <w:sz w:val="22"/>
          <w:szCs w:val="22"/>
        </w:rPr>
        <w:t xml:space="preserve">behaviors outlined in the Teacher Support Toolbox, specifically creation of quality </w:t>
      </w:r>
      <w:r>
        <w:rPr>
          <w:rFonts w:asciiTheme="minorHAnsi" w:hAnsiTheme="minorHAnsi"/>
          <w:color w:val="auto"/>
          <w:sz w:val="22"/>
          <w:szCs w:val="22"/>
        </w:rPr>
        <w:t>assessment</w:t>
      </w:r>
      <w:r w:rsidR="00BE25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1F7F">
        <w:rPr>
          <w:rFonts w:asciiTheme="minorHAnsi" w:hAnsiTheme="minorHAnsi"/>
          <w:color w:val="auto"/>
          <w:sz w:val="22"/>
          <w:szCs w:val="22"/>
        </w:rPr>
        <w:t xml:space="preserve">items and </w:t>
      </w:r>
      <w:r w:rsidR="00BE259B">
        <w:rPr>
          <w:rFonts w:asciiTheme="minorHAnsi" w:hAnsiTheme="minorHAnsi"/>
          <w:color w:val="auto"/>
          <w:sz w:val="22"/>
          <w:szCs w:val="22"/>
        </w:rPr>
        <w:t>lesson and unit planning.</w:t>
      </w:r>
      <w:r w:rsidR="00D31F7F">
        <w:rPr>
          <w:rFonts w:asciiTheme="minorHAnsi" w:hAnsiTheme="minorHAnsi"/>
          <w:color w:val="auto"/>
          <w:sz w:val="22"/>
          <w:szCs w:val="22"/>
        </w:rPr>
        <w:t xml:space="preserve"> PD integrates teachers’ use of the Guidebooks.</w:t>
      </w:r>
    </w:p>
    <w:p w14:paraId="426C683D" w14:textId="77777777" w:rsidR="008D4406" w:rsidRDefault="008D4406" w:rsidP="008D44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3E7BB82" w14:textId="45E89B1D" w:rsidR="009F1C14" w:rsidRPr="002F5DEF" w:rsidRDefault="002F5DEF" w:rsidP="002038F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Currently</w:t>
      </w:r>
      <w:r w:rsidR="008D4406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over 2000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 </w:t>
      </w:r>
      <w:r w:rsidR="00635394">
        <w:rPr>
          <w:rFonts w:asciiTheme="minorHAnsi" w:hAnsiTheme="minorHAnsi" w:cs="Calibri"/>
          <w:sz w:val="22"/>
          <w:szCs w:val="22"/>
        </w:rPr>
        <w:t>teachers and school/district l</w:t>
      </w:r>
      <w:r w:rsidR="00F3444D" w:rsidRPr="008D4406">
        <w:rPr>
          <w:rFonts w:asciiTheme="minorHAnsi" w:hAnsiTheme="minorHAnsi" w:cs="Calibri"/>
          <w:sz w:val="22"/>
          <w:szCs w:val="22"/>
        </w:rPr>
        <w:t>eaders are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 participating in the </w:t>
      </w:r>
      <w:r w:rsidR="00F3444D" w:rsidRPr="008D4406">
        <w:rPr>
          <w:rFonts w:asciiTheme="minorHAnsi" w:hAnsiTheme="minorHAnsi" w:cs="Calibri"/>
          <w:sz w:val="22"/>
          <w:szCs w:val="22"/>
        </w:rPr>
        <w:t xml:space="preserve">LDC </w:t>
      </w:r>
      <w:r w:rsidR="00635394">
        <w:rPr>
          <w:rFonts w:asciiTheme="minorHAnsi" w:hAnsiTheme="minorHAnsi" w:cs="Calibri"/>
          <w:sz w:val="22"/>
          <w:szCs w:val="22"/>
        </w:rPr>
        <w:t>in 40</w:t>
      </w:r>
      <w:r>
        <w:rPr>
          <w:rFonts w:asciiTheme="minorHAnsi" w:hAnsiTheme="minorHAnsi" w:cs="Calibri"/>
          <w:sz w:val="22"/>
          <w:szCs w:val="22"/>
        </w:rPr>
        <w:t xml:space="preserve"> districts</w:t>
      </w:r>
      <w:r w:rsidR="00635394">
        <w:rPr>
          <w:rFonts w:asciiTheme="minorHAnsi" w:hAnsiTheme="minorHAnsi" w:cs="Calibri"/>
          <w:sz w:val="22"/>
          <w:szCs w:val="22"/>
        </w:rPr>
        <w:t xml:space="preserve"> across LA.</w:t>
      </w:r>
    </w:p>
    <w:p w14:paraId="7C1151C6" w14:textId="5A45C632" w:rsidR="007E79DE" w:rsidRPr="00220C3A" w:rsidRDefault="008B7D02" w:rsidP="002038F3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t>Training</w:t>
      </w:r>
      <w:r w:rsidR="00CE7038"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Expectations</w:t>
      </w:r>
    </w:p>
    <w:p w14:paraId="3F7B1A2E" w14:textId="77777777" w:rsidR="007D3DBC" w:rsidRDefault="00CF3B6E" w:rsidP="002038F3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success of LDC in improving student ou</w:t>
      </w:r>
      <w:r w:rsidR="00505A8C">
        <w:rPr>
          <w:rFonts w:asciiTheme="minorHAnsi" w:hAnsiTheme="minorHAnsi"/>
          <w:sz w:val="22"/>
          <w:szCs w:val="22"/>
        </w:rPr>
        <w:t>tcomes is directly linked to</w:t>
      </w:r>
      <w:r w:rsidRPr="009F1C14">
        <w:rPr>
          <w:rFonts w:asciiTheme="minorHAnsi" w:hAnsiTheme="minorHAnsi"/>
          <w:sz w:val="22"/>
          <w:szCs w:val="22"/>
        </w:rPr>
        <w:t xml:space="preserve"> teacher,</w:t>
      </w:r>
      <w:r w:rsidR="00505A8C">
        <w:rPr>
          <w:rFonts w:asciiTheme="minorHAnsi" w:hAnsiTheme="minorHAnsi"/>
          <w:sz w:val="22"/>
          <w:szCs w:val="22"/>
        </w:rPr>
        <w:t xml:space="preserve"> principal, and central office commitment to learn and use the </w:t>
      </w:r>
      <w:r w:rsidRPr="009F1C14">
        <w:rPr>
          <w:rFonts w:asciiTheme="minorHAnsi" w:hAnsiTheme="minorHAnsi"/>
          <w:sz w:val="22"/>
          <w:szCs w:val="22"/>
        </w:rPr>
        <w:t xml:space="preserve">framework </w:t>
      </w:r>
      <w:r w:rsidR="00505A8C">
        <w:rPr>
          <w:rFonts w:asciiTheme="minorHAnsi" w:hAnsiTheme="minorHAnsi"/>
          <w:sz w:val="22"/>
          <w:szCs w:val="22"/>
        </w:rPr>
        <w:t xml:space="preserve">with support </w:t>
      </w:r>
      <w:r w:rsidRPr="009F1C14">
        <w:rPr>
          <w:rFonts w:asciiTheme="minorHAnsi" w:hAnsiTheme="minorHAnsi"/>
          <w:sz w:val="22"/>
          <w:szCs w:val="22"/>
        </w:rPr>
        <w:t>from experts and from their peers</w:t>
      </w:r>
      <w:r w:rsidR="00901D9C" w:rsidRPr="009F1C14">
        <w:rPr>
          <w:rFonts w:asciiTheme="minorHAnsi" w:hAnsiTheme="minorHAnsi"/>
          <w:sz w:val="22"/>
          <w:szCs w:val="22"/>
        </w:rPr>
        <w:t xml:space="preserve">.  </w:t>
      </w:r>
    </w:p>
    <w:p w14:paraId="70A83D49" w14:textId="77777777" w:rsidR="00E108C8" w:rsidRPr="001359DB" w:rsidRDefault="002038F3" w:rsidP="001359DB">
      <w:pPr>
        <w:pStyle w:val="Default"/>
        <w:spacing w:before="240"/>
        <w:rPr>
          <w:rFonts w:eastAsia="Times New Roman" w:cs="Times New Roman"/>
        </w:rPr>
      </w:pPr>
      <w:r>
        <w:rPr>
          <w:rFonts w:asciiTheme="minorHAnsi" w:hAnsiTheme="minorHAnsi"/>
          <w:sz w:val="22"/>
          <w:szCs w:val="22"/>
        </w:rPr>
        <w:t>Social studies, science, and/or ELA elementary, middle, and high school teachers are selected to participate in LDC professional development</w:t>
      </w:r>
      <w:r w:rsidR="00E043A9" w:rsidRPr="00E043A9">
        <w:rPr>
          <w:rFonts w:asciiTheme="minorHAnsi" w:hAnsiTheme="minorHAnsi"/>
          <w:sz w:val="22"/>
          <w:szCs w:val="22"/>
        </w:rPr>
        <w:t xml:space="preserve">. </w:t>
      </w:r>
      <w:r w:rsidR="00A42660" w:rsidRPr="00E043A9">
        <w:rPr>
          <w:rFonts w:asciiTheme="minorHAnsi" w:hAnsiTheme="minorHAnsi"/>
          <w:sz w:val="22"/>
          <w:szCs w:val="22"/>
        </w:rPr>
        <w:t>Teac</w:t>
      </w:r>
      <w:r w:rsidR="00E043A9" w:rsidRPr="00E043A9">
        <w:rPr>
          <w:rFonts w:asciiTheme="minorHAnsi" w:hAnsiTheme="minorHAnsi"/>
          <w:sz w:val="22"/>
          <w:szCs w:val="22"/>
        </w:rPr>
        <w:t xml:space="preserve">hers should </w:t>
      </w:r>
      <w:r>
        <w:rPr>
          <w:rFonts w:asciiTheme="minorHAnsi" w:hAnsiTheme="minorHAnsi"/>
          <w:sz w:val="22"/>
          <w:szCs w:val="22"/>
        </w:rPr>
        <w:t>work on the same campus</w:t>
      </w:r>
      <w:r w:rsidR="00E043A9">
        <w:rPr>
          <w:rFonts w:asciiTheme="minorHAnsi" w:hAnsiTheme="minorHAnsi"/>
          <w:sz w:val="22"/>
          <w:szCs w:val="22"/>
        </w:rPr>
        <w:t xml:space="preserve"> </w:t>
      </w:r>
      <w:r w:rsidR="007D3DBC" w:rsidRPr="00E043A9">
        <w:rPr>
          <w:rFonts w:asciiTheme="minorHAnsi" w:hAnsiTheme="minorHAnsi"/>
          <w:sz w:val="22"/>
          <w:szCs w:val="22"/>
        </w:rPr>
        <w:t>to fac</w:t>
      </w:r>
      <w:r w:rsidR="00E043A9" w:rsidRPr="00E043A9">
        <w:rPr>
          <w:rFonts w:asciiTheme="minorHAnsi" w:hAnsiTheme="minorHAnsi"/>
          <w:sz w:val="22"/>
          <w:szCs w:val="22"/>
        </w:rPr>
        <w:t>ilitate on</w:t>
      </w:r>
      <w:r w:rsidR="001359DB">
        <w:rPr>
          <w:rFonts w:asciiTheme="minorHAnsi" w:hAnsiTheme="minorHAnsi"/>
          <w:sz w:val="22"/>
          <w:szCs w:val="22"/>
        </w:rPr>
        <w:t>going collaboration.</w:t>
      </w:r>
    </w:p>
    <w:p w14:paraId="01440CEA" w14:textId="77777777" w:rsidR="00E108C8" w:rsidRPr="002038F3" w:rsidRDefault="007D3DBC" w:rsidP="002038F3">
      <w:pPr>
        <w:pStyle w:val="Heading4"/>
      </w:pPr>
      <w:r w:rsidRPr="009F1C14">
        <w:t>T</w:t>
      </w:r>
      <w:r w:rsidR="00901D9C" w:rsidRPr="009F1C14">
        <w:t>eacher</w:t>
      </w:r>
      <w:r w:rsidR="009F1C14">
        <w:t>s</w:t>
      </w:r>
      <w:r w:rsidR="00901D9C" w:rsidRPr="009F1C14">
        <w:t xml:space="preserve"> </w:t>
      </w:r>
      <w:r w:rsidR="00E108C8" w:rsidRPr="009F1C14">
        <w:t>are expected to:</w:t>
      </w:r>
    </w:p>
    <w:p w14:paraId="2AB015FF" w14:textId="77777777"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Attend</w:t>
      </w:r>
      <w:r w:rsidR="007D3DBC" w:rsidRPr="009F1C14">
        <w:rPr>
          <w:rFonts w:asciiTheme="minorHAnsi" w:hAnsiTheme="minorHAnsi"/>
          <w:sz w:val="22"/>
          <w:szCs w:val="22"/>
        </w:rPr>
        <w:t xml:space="preserve"> </w:t>
      </w:r>
      <w:r w:rsidR="00D31F7F" w:rsidRPr="00AA357A">
        <w:rPr>
          <w:rFonts w:asciiTheme="minorHAnsi" w:hAnsiTheme="minorHAnsi"/>
          <w:sz w:val="22"/>
          <w:szCs w:val="22"/>
        </w:rPr>
        <w:t>3</w:t>
      </w:r>
      <w:r w:rsidR="00AA357A">
        <w:rPr>
          <w:rFonts w:asciiTheme="minorHAnsi" w:hAnsiTheme="minorHAnsi"/>
          <w:sz w:val="22"/>
          <w:szCs w:val="22"/>
        </w:rPr>
        <w:t xml:space="preserve"> one-day professional development sessions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14:paraId="404898D3" w14:textId="77777777" w:rsidR="00E108C8" w:rsidRPr="009F1C14" w:rsidRDefault="00AA357A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 to implementing the LDC framework</w:t>
      </w:r>
      <w:r w:rsidR="00901D9C" w:rsidRPr="009F1C14">
        <w:rPr>
          <w:rFonts w:asciiTheme="minorHAnsi" w:hAnsiTheme="minorHAnsi"/>
          <w:sz w:val="22"/>
          <w:szCs w:val="22"/>
        </w:rPr>
        <w:t xml:space="preserve"> through</w:t>
      </w:r>
      <w:r w:rsidR="00E108C8" w:rsidRPr="009F1C14">
        <w:rPr>
          <w:rFonts w:asciiTheme="minorHAnsi" w:hAnsiTheme="minorHAnsi"/>
          <w:sz w:val="22"/>
          <w:szCs w:val="22"/>
        </w:rPr>
        <w:t>out</w:t>
      </w:r>
      <w:r>
        <w:rPr>
          <w:rFonts w:asciiTheme="minorHAnsi" w:hAnsiTheme="minorHAnsi"/>
          <w:sz w:val="22"/>
          <w:szCs w:val="22"/>
        </w:rPr>
        <w:t xml:space="preserve"> the school year, which includes approximately:</w:t>
      </w:r>
      <w:r w:rsidR="00901D9C" w:rsidRPr="009F1C14">
        <w:rPr>
          <w:rFonts w:asciiTheme="minorHAnsi" w:hAnsiTheme="minorHAnsi"/>
          <w:sz w:val="22"/>
          <w:szCs w:val="22"/>
        </w:rPr>
        <w:t xml:space="preserve">  </w:t>
      </w:r>
    </w:p>
    <w:p w14:paraId="3C1BBD0B" w14:textId="77777777" w:rsidR="00AA357A" w:rsidRDefault="00901D9C" w:rsidP="00AA357A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AA357A">
        <w:rPr>
          <w:rFonts w:asciiTheme="minorHAnsi" w:hAnsiTheme="minorHAnsi"/>
          <w:sz w:val="22"/>
          <w:szCs w:val="22"/>
        </w:rPr>
        <w:t xml:space="preserve">24 hours of in-person </w:t>
      </w:r>
      <w:r w:rsidR="00284E96" w:rsidRPr="00AA357A">
        <w:rPr>
          <w:rFonts w:asciiTheme="minorHAnsi" w:hAnsiTheme="minorHAnsi"/>
          <w:sz w:val="22"/>
          <w:szCs w:val="22"/>
        </w:rPr>
        <w:t xml:space="preserve">professional development (does </w:t>
      </w:r>
      <w:r w:rsidRPr="00AA357A">
        <w:rPr>
          <w:rFonts w:asciiTheme="minorHAnsi" w:hAnsiTheme="minorHAnsi"/>
          <w:sz w:val="22"/>
          <w:szCs w:val="22"/>
        </w:rPr>
        <w:t xml:space="preserve">not include travel to and from </w:t>
      </w:r>
      <w:r w:rsidR="007D3DBC" w:rsidRPr="00AA357A">
        <w:rPr>
          <w:rFonts w:asciiTheme="minorHAnsi" w:hAnsiTheme="minorHAnsi"/>
          <w:sz w:val="22"/>
          <w:szCs w:val="22"/>
        </w:rPr>
        <w:t>professional development sites).</w:t>
      </w:r>
    </w:p>
    <w:p w14:paraId="0F301DD3" w14:textId="77777777" w:rsidR="00AA357A" w:rsidRDefault="00901D9C" w:rsidP="00AA357A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AA357A">
        <w:rPr>
          <w:rFonts w:asciiTheme="minorHAnsi" w:hAnsiTheme="minorHAnsi"/>
          <w:sz w:val="22"/>
          <w:szCs w:val="22"/>
        </w:rPr>
        <w:t>10 hours developing, refining, and revising modules (unit and lesson-type plans)</w:t>
      </w:r>
      <w:r w:rsidR="00920663" w:rsidRPr="00AA357A">
        <w:rPr>
          <w:rFonts w:asciiTheme="minorHAnsi" w:hAnsiTheme="minorHAnsi"/>
          <w:sz w:val="22"/>
          <w:szCs w:val="22"/>
        </w:rPr>
        <w:t>.</w:t>
      </w:r>
    </w:p>
    <w:p w14:paraId="43F4DE6D" w14:textId="77777777" w:rsidR="002038F3" w:rsidRPr="002038F3" w:rsidRDefault="00901D9C" w:rsidP="002038F3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AA357A">
        <w:rPr>
          <w:rFonts w:asciiTheme="minorHAnsi" w:hAnsiTheme="minorHAnsi"/>
          <w:sz w:val="22"/>
          <w:szCs w:val="22"/>
        </w:rPr>
        <w:t xml:space="preserve">6 hours of collectively jurying a </w:t>
      </w:r>
      <w:r w:rsidR="00920663" w:rsidRPr="00AA357A">
        <w:rPr>
          <w:rFonts w:asciiTheme="minorHAnsi" w:hAnsiTheme="minorHAnsi"/>
          <w:sz w:val="22"/>
          <w:szCs w:val="22"/>
        </w:rPr>
        <w:t>student work</w:t>
      </w:r>
      <w:r w:rsidRPr="00AA357A">
        <w:rPr>
          <w:rFonts w:asciiTheme="minorHAnsi" w:hAnsiTheme="minorHAnsi"/>
          <w:sz w:val="22"/>
          <w:szCs w:val="22"/>
        </w:rPr>
        <w:t xml:space="preserve"> (looking at student writing responses</w:t>
      </w:r>
      <w:r w:rsidR="00920663" w:rsidRPr="00AA357A">
        <w:rPr>
          <w:rFonts w:asciiTheme="minorHAnsi" w:hAnsiTheme="minorHAnsi"/>
          <w:sz w:val="22"/>
          <w:szCs w:val="22"/>
        </w:rPr>
        <w:t xml:space="preserve"> to assess mastery of standards).</w:t>
      </w:r>
    </w:p>
    <w:p w14:paraId="2405CCF9" w14:textId="77777777" w:rsidR="007D3DBC" w:rsidRPr="009F1C14" w:rsidRDefault="002038F3" w:rsidP="001359DB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evelop</w:t>
      </w:r>
      <w:r w:rsidRPr="009F1C14">
        <w:rPr>
          <w:rFonts w:asciiTheme="minorHAnsi" w:hAnsiTheme="minorHAnsi"/>
          <w:sz w:val="22"/>
          <w:szCs w:val="22"/>
        </w:rPr>
        <w:t xml:space="preserve"> two mod</w:t>
      </w:r>
      <w:r w:rsidR="001359DB">
        <w:rPr>
          <w:rFonts w:asciiTheme="minorHAnsi" w:hAnsiTheme="minorHAnsi"/>
          <w:sz w:val="22"/>
          <w:szCs w:val="22"/>
        </w:rPr>
        <w:t>ules throughout the school year.</w:t>
      </w:r>
    </w:p>
    <w:p w14:paraId="0D9529FA" w14:textId="77777777" w:rsidR="00901D9C" w:rsidRPr="009F1C14" w:rsidRDefault="00901D9C" w:rsidP="009F1C14">
      <w:pPr>
        <w:pStyle w:val="Heading4"/>
      </w:pPr>
      <w:r w:rsidRPr="009F1C14">
        <w:t>Principal</w:t>
      </w:r>
      <w:r w:rsidR="004125C6">
        <w:t>s</w:t>
      </w:r>
      <w:r w:rsidRPr="009F1C14">
        <w:t xml:space="preserve"> </w:t>
      </w:r>
      <w:r w:rsidR="00E108C8" w:rsidRPr="009F1C14">
        <w:t>are expected to:</w:t>
      </w:r>
    </w:p>
    <w:p w14:paraId="2E78142B" w14:textId="77777777" w:rsidR="007D3DBC" w:rsidRPr="009F1C14" w:rsidRDefault="00E108C8" w:rsidP="009F1C14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</w:t>
      </w:r>
      <w:r w:rsidR="00E87934">
        <w:rPr>
          <w:rFonts w:asciiTheme="minorHAnsi" w:hAnsiTheme="minorHAnsi"/>
          <w:sz w:val="22"/>
          <w:szCs w:val="22"/>
        </w:rPr>
        <w:t>ttend 3 one-day professional development sessions with teachers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14:paraId="4FAA7FE0" w14:textId="77777777" w:rsidR="007D3DBC" w:rsidRPr="009F1C14" w:rsidRDefault="007D3DBC" w:rsidP="007D3DBC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Teachers want to know that their principals support LDC and that princ</w:t>
      </w:r>
      <w:r w:rsidR="00F3444D">
        <w:rPr>
          <w:rFonts w:asciiTheme="minorHAnsi" w:hAnsiTheme="minorHAnsi"/>
          <w:sz w:val="22"/>
          <w:szCs w:val="22"/>
        </w:rPr>
        <w:t xml:space="preserve">ipals understand how to use </w:t>
      </w:r>
      <w:r w:rsidRPr="009F1C14">
        <w:rPr>
          <w:rFonts w:asciiTheme="minorHAnsi" w:hAnsiTheme="minorHAnsi"/>
          <w:sz w:val="22"/>
          <w:szCs w:val="22"/>
        </w:rPr>
        <w:t>Compass or other state-approved rubr</w:t>
      </w:r>
      <w:r w:rsidR="001359DB">
        <w:rPr>
          <w:rFonts w:asciiTheme="minorHAnsi" w:hAnsiTheme="minorHAnsi"/>
          <w:sz w:val="22"/>
          <w:szCs w:val="22"/>
        </w:rPr>
        <w:t xml:space="preserve">ics to observe LDC classrooms. </w:t>
      </w:r>
      <w:r w:rsidRPr="009F1C14">
        <w:rPr>
          <w:rFonts w:asciiTheme="minorHAnsi" w:hAnsiTheme="minorHAnsi"/>
          <w:sz w:val="22"/>
          <w:szCs w:val="22"/>
        </w:rPr>
        <w:t>L</w:t>
      </w:r>
      <w:r w:rsidR="00E87934">
        <w:rPr>
          <w:rFonts w:asciiTheme="minorHAnsi" w:hAnsiTheme="minorHAnsi"/>
          <w:sz w:val="22"/>
          <w:szCs w:val="22"/>
        </w:rPr>
        <w:t>eadership breakout sessions</w:t>
      </w:r>
      <w:r w:rsidRPr="009F1C14">
        <w:rPr>
          <w:rFonts w:asciiTheme="minorHAnsi" w:hAnsiTheme="minorHAnsi"/>
          <w:sz w:val="22"/>
          <w:szCs w:val="22"/>
        </w:rPr>
        <w:t xml:space="preserve"> will focus on</w:t>
      </w:r>
      <w:r w:rsidR="00E87934">
        <w:rPr>
          <w:rFonts w:asciiTheme="minorHAnsi" w:hAnsiTheme="minorHAnsi"/>
          <w:sz w:val="22"/>
          <w:szCs w:val="22"/>
        </w:rPr>
        <w:t xml:space="preserve"> teacher support </w:t>
      </w:r>
      <w:r w:rsidRPr="009F1C14">
        <w:rPr>
          <w:rFonts w:asciiTheme="minorHAnsi" w:hAnsiTheme="minorHAnsi"/>
          <w:sz w:val="22"/>
          <w:szCs w:val="22"/>
        </w:rPr>
        <w:t>by integrating LDC and Compass resources.</w:t>
      </w:r>
    </w:p>
    <w:p w14:paraId="5AF88E70" w14:textId="77777777" w:rsidR="007D3DBC" w:rsidRDefault="001359DB" w:rsidP="00E8793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Check in with teachers</w:t>
      </w:r>
      <w:r w:rsidR="007D3DBC" w:rsidRPr="00E87934">
        <w:rPr>
          <w:rFonts w:eastAsia="Times New Roman" w:cs="Times New Roman"/>
          <w:color w:val="000000"/>
        </w:rPr>
        <w:t xml:space="preserve"> at least once per month.</w:t>
      </w:r>
    </w:p>
    <w:p w14:paraId="0C7D4545" w14:textId="77777777" w:rsidR="001359DB" w:rsidRPr="00E87934" w:rsidRDefault="001359DB" w:rsidP="00E8793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>
        <w:t>S</w:t>
      </w:r>
      <w:r w:rsidRPr="00E043A9">
        <w:t>ch</w:t>
      </w:r>
      <w:r>
        <w:t>edule common planning periods and</w:t>
      </w:r>
      <w:r w:rsidRPr="00E043A9">
        <w:t xml:space="preserve"> release time for participating t</w:t>
      </w:r>
      <w:r>
        <w:t>eachers</w:t>
      </w:r>
      <w:r w:rsidR="00220F95">
        <w:t>.</w:t>
      </w:r>
    </w:p>
    <w:p w14:paraId="3CD70EBB" w14:textId="77DA5031" w:rsidR="00CE5579" w:rsidRPr="001359DB" w:rsidRDefault="00635394" w:rsidP="001359DB">
      <w:pPr>
        <w:pStyle w:val="Heading4"/>
      </w:pPr>
      <w:r>
        <w:t>District leaders are</w:t>
      </w:r>
      <w:r w:rsidR="00E108C8" w:rsidRPr="009F1C14">
        <w:t xml:space="preserve"> expected to:</w:t>
      </w:r>
    </w:p>
    <w:p w14:paraId="215CEB49" w14:textId="77777777" w:rsidR="00E108C8" w:rsidRDefault="00CE5579" w:rsidP="00E8793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E87934">
        <w:rPr>
          <w:rFonts w:eastAsia="Times New Roman" w:cs="Times New Roman"/>
          <w:color w:val="000000"/>
        </w:rPr>
        <w:t>A</w:t>
      </w:r>
      <w:r w:rsidR="00E108C8" w:rsidRPr="00E87934">
        <w:rPr>
          <w:rFonts w:eastAsia="Times New Roman" w:cs="Times New Roman"/>
          <w:color w:val="000000"/>
        </w:rPr>
        <w:t>ttend</w:t>
      </w:r>
      <w:r w:rsidR="00E043A9" w:rsidRPr="00E87934">
        <w:rPr>
          <w:rFonts w:eastAsia="Times New Roman" w:cs="Times New Roman"/>
          <w:color w:val="000000"/>
        </w:rPr>
        <w:t xml:space="preserve"> </w:t>
      </w:r>
      <w:r w:rsidR="00E87934" w:rsidRPr="00E87934">
        <w:rPr>
          <w:rFonts w:eastAsia="Times New Roman" w:cs="Times New Roman"/>
          <w:color w:val="000000"/>
        </w:rPr>
        <w:t>3 one-day professional deve</w:t>
      </w:r>
      <w:r w:rsidR="001359DB">
        <w:rPr>
          <w:rFonts w:eastAsia="Times New Roman" w:cs="Times New Roman"/>
          <w:color w:val="000000"/>
        </w:rPr>
        <w:t>lopment sessions with teachers.</w:t>
      </w:r>
    </w:p>
    <w:p w14:paraId="04BB10B6" w14:textId="77777777" w:rsidR="001359DB" w:rsidRPr="00E87934" w:rsidRDefault="001359DB" w:rsidP="00E8793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Provide schools with resources t</w:t>
      </w:r>
      <w:r w:rsidR="00220F95">
        <w:rPr>
          <w:rFonts w:eastAsia="Times New Roman" w:cs="Times New Roman"/>
          <w:color w:val="000000"/>
        </w:rPr>
        <w:t>o implement (e.g., electronic l</w:t>
      </w:r>
      <w:r>
        <w:rPr>
          <w:rFonts w:eastAsia="Times New Roman" w:cs="Times New Roman"/>
          <w:color w:val="000000"/>
        </w:rPr>
        <w:t>iterature database, travel and/or substitute reimbursement for teachers and leaders to participate</w:t>
      </w:r>
      <w:r w:rsidR="00220F95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>.</w:t>
      </w:r>
    </w:p>
    <w:p w14:paraId="177CCAA5" w14:textId="77777777" w:rsidR="00091730" w:rsidRDefault="00CE5579" w:rsidP="00E87934">
      <w:pPr>
        <w:pStyle w:val="ListParagraph"/>
        <w:numPr>
          <w:ilvl w:val="0"/>
          <w:numId w:val="14"/>
        </w:numPr>
        <w:spacing w:after="0" w:line="240" w:lineRule="auto"/>
      </w:pPr>
      <w:r w:rsidRPr="009F1C14">
        <w:rPr>
          <w:rFonts w:eastAsia="Times New Roman" w:cs="Times New Roman"/>
          <w:color w:val="000000"/>
        </w:rPr>
        <w:t>Resolve</w:t>
      </w:r>
      <w:r w:rsidR="00E108C8" w:rsidRPr="009F1C14">
        <w:rPr>
          <w:rFonts w:eastAsia="Times New Roman" w:cs="Times New Roman"/>
          <w:color w:val="000000"/>
        </w:rPr>
        <w:t xml:space="preserve"> issues </w:t>
      </w:r>
      <w:r w:rsidRPr="009F1C14">
        <w:rPr>
          <w:rFonts w:eastAsia="Times New Roman" w:cs="Times New Roman"/>
          <w:color w:val="000000"/>
        </w:rPr>
        <w:t>that</w:t>
      </w:r>
      <w:r w:rsidR="00E108C8" w:rsidRPr="009F1C14">
        <w:rPr>
          <w:rFonts w:eastAsia="Times New Roman" w:cs="Times New Roman"/>
          <w:color w:val="000000"/>
        </w:rPr>
        <w:t xml:space="preserve"> may arise throughout the school ye</w:t>
      </w:r>
      <w:r w:rsidR="00220F95">
        <w:rPr>
          <w:rFonts w:eastAsia="Times New Roman" w:cs="Times New Roman"/>
          <w:color w:val="000000"/>
        </w:rPr>
        <w:t>ar (i.e., allowing teachers</w:t>
      </w:r>
      <w:r w:rsidR="00E108C8" w:rsidRPr="009F1C14">
        <w:rPr>
          <w:rFonts w:eastAsia="Times New Roman" w:cs="Times New Roman"/>
          <w:color w:val="000000"/>
        </w:rPr>
        <w:t xml:space="preserve"> flexibility in their lesson planning format, finding common planning time for teachers, etc.)</w:t>
      </w:r>
      <w:r w:rsidR="00920663">
        <w:rPr>
          <w:rFonts w:eastAsia="Times New Roman" w:cs="Times New Roman"/>
          <w:color w:val="000000"/>
        </w:rPr>
        <w:t>.</w:t>
      </w:r>
      <w:r w:rsidR="00E87934">
        <w:t xml:space="preserve"> </w:t>
      </w:r>
      <w:r w:rsidR="00091730">
        <w:br w:type="page"/>
      </w:r>
    </w:p>
    <w:p w14:paraId="416D4F1D" w14:textId="18C6E6CC" w:rsidR="001A1D74" w:rsidRPr="001A1D74" w:rsidRDefault="002F5DEF" w:rsidP="001A1D74">
      <w:pPr>
        <w:pStyle w:val="Heading2"/>
        <w:spacing w:after="240"/>
        <w:jc w:val="center"/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2015-2016</w:t>
      </w:r>
      <w:r w:rsidR="008B7D02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Training</w:t>
      </w:r>
      <w:r w:rsidR="009F1C14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D</w:t>
      </w:r>
      <w:r w:rsidR="00EA3E66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ates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4428"/>
        <w:gridCol w:w="1908"/>
        <w:gridCol w:w="1728"/>
        <w:gridCol w:w="2160"/>
      </w:tblGrid>
      <w:tr w:rsidR="00BF1D61" w:rsidRPr="00782C6A" w14:paraId="71E8BA40" w14:textId="77777777" w:rsidTr="001A1D74">
        <w:trPr>
          <w:trHeight w:val="432"/>
        </w:trPr>
        <w:tc>
          <w:tcPr>
            <w:tcW w:w="4428" w:type="dxa"/>
            <w:shd w:val="clear" w:color="auto" w:fill="B8CCE4" w:themeFill="accent1" w:themeFillTint="66"/>
            <w:vAlign w:val="center"/>
          </w:tcPr>
          <w:p w14:paraId="4FE5D7B0" w14:textId="77777777"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Event</w:t>
            </w:r>
          </w:p>
        </w:tc>
        <w:tc>
          <w:tcPr>
            <w:tcW w:w="1908" w:type="dxa"/>
            <w:shd w:val="clear" w:color="auto" w:fill="B8CCE4" w:themeFill="accent1" w:themeFillTint="66"/>
            <w:vAlign w:val="center"/>
          </w:tcPr>
          <w:p w14:paraId="3F904E68" w14:textId="77777777"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14:paraId="1E1CD2F6" w14:textId="77777777"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Location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52D5DF6A" w14:textId="77777777"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Participants</w:t>
            </w:r>
          </w:p>
        </w:tc>
      </w:tr>
      <w:tr w:rsidR="00BF1D61" w14:paraId="05A96886" w14:textId="77777777" w:rsidTr="001A1D74">
        <w:trPr>
          <w:trHeight w:val="854"/>
        </w:trPr>
        <w:tc>
          <w:tcPr>
            <w:tcW w:w="4428" w:type="dxa"/>
          </w:tcPr>
          <w:p w14:paraId="7256BA19" w14:textId="08476E90" w:rsidR="008B7D02" w:rsidRDefault="008B7D02" w:rsidP="001359D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LDC Orientation</w:t>
            </w:r>
          </w:p>
          <w:p w14:paraId="1801AC2D" w14:textId="3769309A" w:rsidR="00BF1D61" w:rsidRPr="001359DB" w:rsidRDefault="001A1D74" w:rsidP="001359D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Teacher Leader and Superintendents’ </w:t>
            </w:r>
            <w:r w:rsidR="001359DB">
              <w:rPr>
                <w:rFonts w:eastAsia="Times New Roman" w:cstheme="minorHAnsi"/>
                <w:color w:val="000000"/>
              </w:rPr>
              <w:t>Collaboration</w:t>
            </w:r>
            <w:r w:rsidR="008B7D02">
              <w:rPr>
                <w:rFonts w:eastAsia="Times New Roman" w:cstheme="minorHAnsi"/>
                <w:color w:val="000000"/>
              </w:rPr>
              <w:t xml:space="preserve"> Events</w:t>
            </w:r>
          </w:p>
        </w:tc>
        <w:tc>
          <w:tcPr>
            <w:tcW w:w="1908" w:type="dxa"/>
          </w:tcPr>
          <w:p w14:paraId="1336EDC0" w14:textId="3137C10B" w:rsidR="00BF1D61" w:rsidRPr="006C4B09" w:rsidRDefault="00B67651" w:rsidP="002F5DE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June</w:t>
            </w:r>
            <w:r w:rsidR="001A1D74">
              <w:rPr>
                <w:rFonts w:eastAsia="Times New Roman" w:cstheme="minorHAnsi"/>
                <w:color w:val="000000"/>
              </w:rPr>
              <w:t xml:space="preserve"> 3-5</w:t>
            </w:r>
          </w:p>
        </w:tc>
        <w:tc>
          <w:tcPr>
            <w:tcW w:w="1728" w:type="dxa"/>
          </w:tcPr>
          <w:p w14:paraId="3D4BA974" w14:textId="65C7612F" w:rsidR="00BF1D61" w:rsidRPr="006C4B09" w:rsidRDefault="001A1D74" w:rsidP="002F5DE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 Orleans</w:t>
            </w:r>
          </w:p>
        </w:tc>
        <w:tc>
          <w:tcPr>
            <w:tcW w:w="2160" w:type="dxa"/>
          </w:tcPr>
          <w:p w14:paraId="315ED73B" w14:textId="77777777" w:rsidR="008B7D02" w:rsidRDefault="008B7D02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Superintendents</w:t>
            </w:r>
          </w:p>
          <w:p w14:paraId="5A208B21" w14:textId="77777777" w:rsidR="008B7D02" w:rsidRDefault="008B7D02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District leaders</w:t>
            </w:r>
          </w:p>
          <w:p w14:paraId="606292A0" w14:textId="77777777" w:rsidR="008B7D02" w:rsidRDefault="008B7D02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Teacher leaders</w:t>
            </w:r>
          </w:p>
          <w:p w14:paraId="1AB0A4A7" w14:textId="15F14E3B" w:rsidR="00BF1D61" w:rsidRPr="006C4B09" w:rsidRDefault="008B7D02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Teachers</w:t>
            </w:r>
          </w:p>
        </w:tc>
      </w:tr>
      <w:tr w:rsidR="00BF1D61" w14:paraId="7D0FFA66" w14:textId="77777777" w:rsidTr="008B7D02">
        <w:trPr>
          <w:trHeight w:val="800"/>
        </w:trPr>
        <w:tc>
          <w:tcPr>
            <w:tcW w:w="4428" w:type="dxa"/>
          </w:tcPr>
          <w:p w14:paraId="4F1B8597" w14:textId="7CBB9310" w:rsidR="00BF1D61" w:rsidRPr="006C4B09" w:rsidRDefault="008B7D02" w:rsidP="00BF1D6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LDC Training</w:t>
            </w:r>
            <w:r w:rsidR="002F5DEF">
              <w:rPr>
                <w:rFonts w:eastAsia="Times New Roman" w:cstheme="minorHAnsi"/>
                <w:color w:val="000000"/>
              </w:rPr>
              <w:t xml:space="preserve"> </w:t>
            </w:r>
            <w:r w:rsidR="00BF1D61" w:rsidRPr="006C4B09">
              <w:rPr>
                <w:rFonts w:eastAsia="Times New Roman" w:cstheme="minorHAnsi"/>
                <w:color w:val="000000"/>
              </w:rPr>
              <w:t>#1 of 3</w:t>
            </w:r>
          </w:p>
          <w:p w14:paraId="6DE0D270" w14:textId="77777777" w:rsidR="00BF1D61" w:rsidRPr="006C4B09" w:rsidRDefault="00BF1D61" w:rsidP="00BF1D61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08" w:type="dxa"/>
          </w:tcPr>
          <w:p w14:paraId="39032E2F" w14:textId="47E025A9" w:rsidR="00BF1D61" w:rsidRDefault="001359DB" w:rsidP="00682F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September</w:t>
            </w:r>
            <w:r w:rsidR="001A1D74">
              <w:rPr>
                <w:rFonts w:eastAsia="Times New Roman" w:cstheme="minorHAnsi"/>
                <w:color w:val="000000"/>
              </w:rPr>
              <w:t xml:space="preserve"> 9 (W)</w:t>
            </w:r>
          </w:p>
          <w:p w14:paraId="4A0F8735" w14:textId="7D11A4F9" w:rsidR="001A1D74" w:rsidRDefault="001A1D74" w:rsidP="00682F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September 10 (Th)</w:t>
            </w:r>
          </w:p>
          <w:p w14:paraId="64F5F1B2" w14:textId="28F2E9D5" w:rsidR="001A1D74" w:rsidRPr="006C4B09" w:rsidRDefault="001A1D74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September 11 (F)</w:t>
            </w:r>
          </w:p>
        </w:tc>
        <w:tc>
          <w:tcPr>
            <w:tcW w:w="1728" w:type="dxa"/>
          </w:tcPr>
          <w:p w14:paraId="4A461FCB" w14:textId="6D461644" w:rsidR="00BF1D61" w:rsidRPr="006C4B09" w:rsidRDefault="0022446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W. Monroe</w:t>
            </w:r>
          </w:p>
          <w:p w14:paraId="7F3E7852" w14:textId="77777777" w:rsidR="00BF1D61" w:rsidRPr="006C4B09" w:rsidRDefault="001359DB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Lafayette</w:t>
            </w:r>
          </w:p>
          <w:p w14:paraId="1A9AF03B" w14:textId="77777777" w:rsidR="00BF1D61" w:rsidRPr="006C4B09" w:rsidRDefault="005069A6" w:rsidP="008B7D02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14:paraId="44FEC673" w14:textId="45D5CE69" w:rsidR="00BF1D61" w:rsidRPr="006C4B09" w:rsidRDefault="008B7D02" w:rsidP="002F4F7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Teachers</w:t>
            </w:r>
            <w:r w:rsidR="002F4F7A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Principals</w:t>
            </w:r>
            <w:r w:rsidR="002F4F7A">
              <w:rPr>
                <w:rFonts w:eastAsia="Times New Roman" w:cstheme="minorHAnsi"/>
                <w:color w:val="000000"/>
              </w:rPr>
              <w:t xml:space="preserve">, and 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="00BA4C91">
              <w:rPr>
                <w:rFonts w:eastAsia="Times New Roman" w:cstheme="minorHAnsi"/>
                <w:color w:val="000000"/>
              </w:rPr>
              <w:t xml:space="preserve">istrict </w:t>
            </w:r>
            <w:r w:rsidR="001359DB">
              <w:rPr>
                <w:rFonts w:eastAsia="Times New Roman" w:cstheme="minorHAnsi"/>
                <w:color w:val="000000"/>
              </w:rPr>
              <w:t>leader</w:t>
            </w:r>
            <w:r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BF1D61" w14:paraId="623C68BB" w14:textId="77777777" w:rsidTr="001A1D74">
        <w:tc>
          <w:tcPr>
            <w:tcW w:w="4428" w:type="dxa"/>
          </w:tcPr>
          <w:p w14:paraId="690605FA" w14:textId="50016AED" w:rsidR="00BF1D61" w:rsidRPr="006C4B09" w:rsidRDefault="008B7D02" w:rsidP="00BF1D6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LDC Training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 #2 of 3</w:t>
            </w:r>
          </w:p>
        </w:tc>
        <w:tc>
          <w:tcPr>
            <w:tcW w:w="1908" w:type="dxa"/>
          </w:tcPr>
          <w:p w14:paraId="5F6F9EE0" w14:textId="0F934089" w:rsidR="00BF1D61" w:rsidRDefault="00E31C5F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November</w:t>
            </w:r>
            <w:r w:rsidR="001A1D74">
              <w:rPr>
                <w:rFonts w:eastAsia="Times New Roman" w:cstheme="minorHAnsi"/>
                <w:color w:val="000000"/>
              </w:rPr>
              <w:t xml:space="preserve"> 4 (W)</w:t>
            </w:r>
          </w:p>
          <w:p w14:paraId="321EB2FD" w14:textId="1F1F8849" w:rsidR="001A1D74" w:rsidRDefault="001A1D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November 5 (Th)</w:t>
            </w:r>
          </w:p>
          <w:p w14:paraId="27202974" w14:textId="17BC1B0F" w:rsidR="001A1D74" w:rsidRPr="006C4B09" w:rsidRDefault="001A1D74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November 6 (F)</w:t>
            </w:r>
          </w:p>
        </w:tc>
        <w:tc>
          <w:tcPr>
            <w:tcW w:w="1728" w:type="dxa"/>
          </w:tcPr>
          <w:p w14:paraId="17E3149F" w14:textId="54821DD7" w:rsidR="00E31C5F" w:rsidRPr="006C4B09" w:rsidRDefault="00224464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W. Monroe</w:t>
            </w:r>
          </w:p>
          <w:p w14:paraId="7D9AC431" w14:textId="77777777" w:rsidR="00E31C5F" w:rsidRPr="006C4B09" w:rsidRDefault="00E31C5F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Lafayette</w:t>
            </w:r>
          </w:p>
          <w:p w14:paraId="356580FD" w14:textId="77777777" w:rsidR="00BF1D61" w:rsidRPr="006C4B09" w:rsidRDefault="00E31C5F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14:paraId="1212470D" w14:textId="52FE693D" w:rsidR="00BF1D61" w:rsidRPr="006C4B09" w:rsidRDefault="002F4F7A" w:rsidP="008B7D02">
            <w:pPr>
              <w:rPr>
                <w:rFonts w:eastAsia="Times New Roman" w:cstheme="minorHAnsi"/>
                <w:color w:val="000000"/>
              </w:rPr>
            </w:pPr>
            <w:r w:rsidRPr="002F4F7A">
              <w:rPr>
                <w:rFonts w:eastAsia="Times New Roman" w:cstheme="minorHAnsi"/>
                <w:color w:val="000000"/>
              </w:rPr>
              <w:t>Teachers, Principals, and District leaders</w:t>
            </w:r>
          </w:p>
        </w:tc>
      </w:tr>
      <w:tr w:rsidR="00BF1D61" w14:paraId="3268DF48" w14:textId="77777777" w:rsidTr="001A1D74">
        <w:tc>
          <w:tcPr>
            <w:tcW w:w="4428" w:type="dxa"/>
          </w:tcPr>
          <w:p w14:paraId="428AB1D0" w14:textId="1A877C07" w:rsidR="00BF1D61" w:rsidRPr="006C4B09" w:rsidRDefault="008B7D02" w:rsidP="007B2B4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LDC Training</w:t>
            </w:r>
            <w:r w:rsidR="00E31C5F">
              <w:rPr>
                <w:rFonts w:eastAsia="Times New Roman" w:cstheme="minorHAnsi"/>
                <w:color w:val="000000"/>
              </w:rPr>
              <w:t xml:space="preserve"> #3 of 3</w:t>
            </w:r>
          </w:p>
        </w:tc>
        <w:tc>
          <w:tcPr>
            <w:tcW w:w="1908" w:type="dxa"/>
          </w:tcPr>
          <w:p w14:paraId="629DF1AB" w14:textId="77777777" w:rsidR="00BA4C91" w:rsidRDefault="00BA4C91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January 20 (W)</w:t>
            </w:r>
          </w:p>
          <w:p w14:paraId="2338AFFB" w14:textId="77777777" w:rsidR="00BA4C91" w:rsidRDefault="00BA4C91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January 21 (Th)</w:t>
            </w:r>
          </w:p>
          <w:p w14:paraId="5DD45745" w14:textId="1041C2B8" w:rsidR="001A1D74" w:rsidRPr="006C4B09" w:rsidRDefault="00BA4C91" w:rsidP="00EA3E6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January 22 (F)</w:t>
            </w:r>
          </w:p>
        </w:tc>
        <w:tc>
          <w:tcPr>
            <w:tcW w:w="1728" w:type="dxa"/>
          </w:tcPr>
          <w:p w14:paraId="3624E2AF" w14:textId="1CF6EA8A" w:rsidR="00E31C5F" w:rsidRPr="006C4B09" w:rsidRDefault="00224464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W. Monroe</w:t>
            </w:r>
            <w:bookmarkStart w:id="0" w:name="_GoBack"/>
            <w:bookmarkEnd w:id="0"/>
          </w:p>
          <w:p w14:paraId="40192DA3" w14:textId="77777777" w:rsidR="00E31C5F" w:rsidRPr="006C4B09" w:rsidRDefault="00E31C5F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Lafayette</w:t>
            </w:r>
          </w:p>
          <w:p w14:paraId="20F8ACCB" w14:textId="77777777" w:rsidR="007B2B4E" w:rsidRPr="006C4B09" w:rsidRDefault="00E31C5F" w:rsidP="00E31C5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Chalmette</w:t>
            </w:r>
          </w:p>
        </w:tc>
        <w:tc>
          <w:tcPr>
            <w:tcW w:w="2160" w:type="dxa"/>
          </w:tcPr>
          <w:p w14:paraId="7F09B4C5" w14:textId="0CE6269B" w:rsidR="00BF1D61" w:rsidRPr="006C4B09" w:rsidRDefault="002F4F7A" w:rsidP="008B7D02">
            <w:pPr>
              <w:rPr>
                <w:rFonts w:eastAsia="Times New Roman" w:cstheme="minorHAnsi"/>
                <w:color w:val="000000"/>
              </w:rPr>
            </w:pPr>
            <w:r w:rsidRPr="002F4F7A">
              <w:rPr>
                <w:rFonts w:eastAsia="Times New Roman" w:cstheme="minorHAnsi"/>
                <w:color w:val="000000"/>
              </w:rPr>
              <w:t>Teachers, Principals, and District leaders</w:t>
            </w:r>
          </w:p>
        </w:tc>
      </w:tr>
    </w:tbl>
    <w:p w14:paraId="1F7695B3" w14:textId="64922690" w:rsidR="005F5DA2" w:rsidRPr="009F1C14" w:rsidRDefault="008B7D02" w:rsidP="008B7D02">
      <w:r>
        <w:t xml:space="preserve">Register on Coursewhere at: </w:t>
      </w:r>
      <w:hyperlink r:id="rId13" w:history="1">
        <w:r w:rsidR="002F4F7A" w:rsidRPr="00C9029A">
          <w:rPr>
            <w:rStyle w:val="Hyperlink"/>
          </w:rPr>
          <w:t>https://www.solutionwhere.com/ldoe/cw/main.asp</w:t>
        </w:r>
      </w:hyperlink>
      <w:r>
        <w:t>.</w:t>
      </w:r>
      <w:r w:rsidR="002F4F7A">
        <w:t xml:space="preserve"> </w:t>
      </w:r>
    </w:p>
    <w:sectPr w:rsidR="005F5DA2" w:rsidRPr="009F1C14" w:rsidSect="001C1BC5">
      <w:footerReference w:type="default" r:id="rId14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3DE3" w14:textId="77777777" w:rsidR="00EE3F0E" w:rsidRDefault="00EE3F0E" w:rsidP="00107610">
      <w:pPr>
        <w:spacing w:after="0" w:line="240" w:lineRule="auto"/>
      </w:pPr>
      <w:r>
        <w:separator/>
      </w:r>
    </w:p>
  </w:endnote>
  <w:endnote w:type="continuationSeparator" w:id="0">
    <w:p w14:paraId="4B200395" w14:textId="77777777" w:rsidR="00EE3F0E" w:rsidRDefault="00EE3F0E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4822" w14:textId="3B332B24" w:rsidR="001A1D74" w:rsidRDefault="001A1D74" w:rsidP="001C1BC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EF1B" w14:textId="77777777" w:rsidR="00EE3F0E" w:rsidRDefault="00EE3F0E" w:rsidP="00107610">
      <w:pPr>
        <w:spacing w:after="0" w:line="240" w:lineRule="auto"/>
      </w:pPr>
      <w:r>
        <w:separator/>
      </w:r>
    </w:p>
  </w:footnote>
  <w:footnote w:type="continuationSeparator" w:id="0">
    <w:p w14:paraId="110FE41B" w14:textId="77777777" w:rsidR="00EE3F0E" w:rsidRDefault="00EE3F0E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435A"/>
    <w:rsid w:val="00074B43"/>
    <w:rsid w:val="0008327E"/>
    <w:rsid w:val="00084F01"/>
    <w:rsid w:val="00091730"/>
    <w:rsid w:val="000935C5"/>
    <w:rsid w:val="000A5534"/>
    <w:rsid w:val="000E7E41"/>
    <w:rsid w:val="00107610"/>
    <w:rsid w:val="0012784D"/>
    <w:rsid w:val="001359DB"/>
    <w:rsid w:val="001633FE"/>
    <w:rsid w:val="00163605"/>
    <w:rsid w:val="00194790"/>
    <w:rsid w:val="001A0BB4"/>
    <w:rsid w:val="001A1D74"/>
    <w:rsid w:val="001B5303"/>
    <w:rsid w:val="001C1BC5"/>
    <w:rsid w:val="001C7374"/>
    <w:rsid w:val="001F5288"/>
    <w:rsid w:val="0020004B"/>
    <w:rsid w:val="002038F3"/>
    <w:rsid w:val="00204AEE"/>
    <w:rsid w:val="002128CC"/>
    <w:rsid w:val="002209EA"/>
    <w:rsid w:val="00220C3A"/>
    <w:rsid w:val="00220F95"/>
    <w:rsid w:val="00224464"/>
    <w:rsid w:val="00264A7E"/>
    <w:rsid w:val="00264B0D"/>
    <w:rsid w:val="002741A8"/>
    <w:rsid w:val="00284E96"/>
    <w:rsid w:val="002925CE"/>
    <w:rsid w:val="002B31F6"/>
    <w:rsid w:val="002C0FD3"/>
    <w:rsid w:val="002F4F7A"/>
    <w:rsid w:val="002F5DEF"/>
    <w:rsid w:val="003039F7"/>
    <w:rsid w:val="00306592"/>
    <w:rsid w:val="003141AB"/>
    <w:rsid w:val="003165AB"/>
    <w:rsid w:val="00317971"/>
    <w:rsid w:val="00341751"/>
    <w:rsid w:val="003832FA"/>
    <w:rsid w:val="003875DC"/>
    <w:rsid w:val="00393E8C"/>
    <w:rsid w:val="004125C6"/>
    <w:rsid w:val="00421AB7"/>
    <w:rsid w:val="00426EFE"/>
    <w:rsid w:val="00442538"/>
    <w:rsid w:val="00496701"/>
    <w:rsid w:val="004B6C49"/>
    <w:rsid w:val="004C499C"/>
    <w:rsid w:val="004D4426"/>
    <w:rsid w:val="004D4FDD"/>
    <w:rsid w:val="00505A8C"/>
    <w:rsid w:val="005069A6"/>
    <w:rsid w:val="0051333D"/>
    <w:rsid w:val="00517430"/>
    <w:rsid w:val="00551FC1"/>
    <w:rsid w:val="005525FD"/>
    <w:rsid w:val="0057377C"/>
    <w:rsid w:val="00585DE9"/>
    <w:rsid w:val="005C16EB"/>
    <w:rsid w:val="005D4E20"/>
    <w:rsid w:val="005E4BF2"/>
    <w:rsid w:val="005F5DA2"/>
    <w:rsid w:val="006062EE"/>
    <w:rsid w:val="00615B6F"/>
    <w:rsid w:val="0063514E"/>
    <w:rsid w:val="00635394"/>
    <w:rsid w:val="006465BF"/>
    <w:rsid w:val="006504F1"/>
    <w:rsid w:val="00682F1B"/>
    <w:rsid w:val="006929A6"/>
    <w:rsid w:val="006C2989"/>
    <w:rsid w:val="006C4B09"/>
    <w:rsid w:val="006D05FC"/>
    <w:rsid w:val="006E4F82"/>
    <w:rsid w:val="007176D8"/>
    <w:rsid w:val="0072766A"/>
    <w:rsid w:val="00765093"/>
    <w:rsid w:val="00772967"/>
    <w:rsid w:val="00782C6A"/>
    <w:rsid w:val="007B2B4E"/>
    <w:rsid w:val="007B4223"/>
    <w:rsid w:val="007B5498"/>
    <w:rsid w:val="007D3DBC"/>
    <w:rsid w:val="007D64A4"/>
    <w:rsid w:val="007E79DE"/>
    <w:rsid w:val="00812691"/>
    <w:rsid w:val="00817CC2"/>
    <w:rsid w:val="00821CF5"/>
    <w:rsid w:val="00821F67"/>
    <w:rsid w:val="00841FE3"/>
    <w:rsid w:val="0084221D"/>
    <w:rsid w:val="00842BC6"/>
    <w:rsid w:val="00851CB9"/>
    <w:rsid w:val="008558B0"/>
    <w:rsid w:val="0086677D"/>
    <w:rsid w:val="00866D84"/>
    <w:rsid w:val="008835C9"/>
    <w:rsid w:val="008A36D1"/>
    <w:rsid w:val="008B7985"/>
    <w:rsid w:val="008B7D02"/>
    <w:rsid w:val="008C3C71"/>
    <w:rsid w:val="008D4406"/>
    <w:rsid w:val="00901D9C"/>
    <w:rsid w:val="00913CEB"/>
    <w:rsid w:val="00920663"/>
    <w:rsid w:val="00926003"/>
    <w:rsid w:val="00942F0E"/>
    <w:rsid w:val="00976B4A"/>
    <w:rsid w:val="009B3F2D"/>
    <w:rsid w:val="009F1C14"/>
    <w:rsid w:val="00A42660"/>
    <w:rsid w:val="00A50232"/>
    <w:rsid w:val="00A623F8"/>
    <w:rsid w:val="00A93C3A"/>
    <w:rsid w:val="00AA357A"/>
    <w:rsid w:val="00AE312E"/>
    <w:rsid w:val="00AE6A61"/>
    <w:rsid w:val="00B5151D"/>
    <w:rsid w:val="00B6123F"/>
    <w:rsid w:val="00B67651"/>
    <w:rsid w:val="00B83046"/>
    <w:rsid w:val="00B83EDC"/>
    <w:rsid w:val="00BA21C0"/>
    <w:rsid w:val="00BA4C91"/>
    <w:rsid w:val="00BC7641"/>
    <w:rsid w:val="00BE259B"/>
    <w:rsid w:val="00BF1D61"/>
    <w:rsid w:val="00BF39B7"/>
    <w:rsid w:val="00C23A81"/>
    <w:rsid w:val="00C24ACA"/>
    <w:rsid w:val="00C45E6E"/>
    <w:rsid w:val="00C56AC3"/>
    <w:rsid w:val="00C713D4"/>
    <w:rsid w:val="00C82357"/>
    <w:rsid w:val="00CC6418"/>
    <w:rsid w:val="00CE5579"/>
    <w:rsid w:val="00CE7038"/>
    <w:rsid w:val="00CF3B6E"/>
    <w:rsid w:val="00D25F4D"/>
    <w:rsid w:val="00D31F7F"/>
    <w:rsid w:val="00D36ACE"/>
    <w:rsid w:val="00D45A20"/>
    <w:rsid w:val="00D524DD"/>
    <w:rsid w:val="00D61755"/>
    <w:rsid w:val="00D63E71"/>
    <w:rsid w:val="00D676D0"/>
    <w:rsid w:val="00D8417A"/>
    <w:rsid w:val="00D84214"/>
    <w:rsid w:val="00DF501C"/>
    <w:rsid w:val="00E043A9"/>
    <w:rsid w:val="00E108C8"/>
    <w:rsid w:val="00E11E69"/>
    <w:rsid w:val="00E14B28"/>
    <w:rsid w:val="00E16183"/>
    <w:rsid w:val="00E17E1A"/>
    <w:rsid w:val="00E27B5E"/>
    <w:rsid w:val="00E31C5F"/>
    <w:rsid w:val="00E36CAC"/>
    <w:rsid w:val="00E447CB"/>
    <w:rsid w:val="00E46A64"/>
    <w:rsid w:val="00E7137D"/>
    <w:rsid w:val="00E734A1"/>
    <w:rsid w:val="00E87934"/>
    <w:rsid w:val="00EA28A8"/>
    <w:rsid w:val="00EA3E66"/>
    <w:rsid w:val="00EC5ED4"/>
    <w:rsid w:val="00ED1679"/>
    <w:rsid w:val="00EE3F0E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80548"/>
    <w:rsid w:val="00FB29F0"/>
    <w:rsid w:val="00FD5E0D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55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olutionwhere.com/ldoe/cw/main.a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50D6796C-6A47-437A-BF82-1CF4B6C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Michelle Handy</cp:lastModifiedBy>
  <cp:revision>4</cp:revision>
  <cp:lastPrinted>2013-05-04T13:47:00Z</cp:lastPrinted>
  <dcterms:created xsi:type="dcterms:W3CDTF">2015-05-04T15:18:00Z</dcterms:created>
  <dcterms:modified xsi:type="dcterms:W3CDTF">2015-08-10T18:23:00Z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