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4E318D6" w14:textId="77777777" w:rsidR="00223284" w:rsidRDefault="00A66A11">
      <w:pPr>
        <w:jc w:val="center"/>
        <w:rPr>
          <w:b/>
          <w:sz w:val="28"/>
          <w:szCs w:val="28"/>
        </w:rPr>
      </w:pPr>
      <w:bookmarkStart w:id="0" w:name="_GoBack"/>
      <w:bookmarkEnd w:id="0"/>
      <w:r>
        <w:rPr>
          <w:b/>
          <w:sz w:val="28"/>
          <w:szCs w:val="28"/>
        </w:rPr>
        <w:t>Regional</w:t>
      </w:r>
      <w:r w:rsidR="008F3649">
        <w:rPr>
          <w:b/>
          <w:sz w:val="28"/>
          <w:szCs w:val="28"/>
        </w:rPr>
        <w:t xml:space="preserve"> Micro-Enterprise Credential:</w:t>
      </w:r>
    </w:p>
    <w:p w14:paraId="773CAB72" w14:textId="77777777" w:rsidR="00223284" w:rsidRDefault="008F3649">
      <w:pPr>
        <w:jc w:val="center"/>
        <w:rPr>
          <w:b/>
          <w:sz w:val="28"/>
          <w:szCs w:val="28"/>
        </w:rPr>
      </w:pPr>
      <w:r>
        <w:rPr>
          <w:b/>
          <w:sz w:val="28"/>
          <w:szCs w:val="28"/>
        </w:rPr>
        <w:t>Funding Sources for Small Businesses:  Small Business Capital and Credit</w:t>
      </w:r>
    </w:p>
    <w:p w14:paraId="6D8A2F38" w14:textId="77777777" w:rsidR="00223284" w:rsidRDefault="008F3649">
      <w:pPr>
        <w:jc w:val="center"/>
        <w:rPr>
          <w:sz w:val="20"/>
          <w:szCs w:val="20"/>
        </w:rPr>
      </w:pPr>
      <w:r>
        <w:rPr>
          <w:sz w:val="20"/>
          <w:szCs w:val="20"/>
        </w:rPr>
        <w:t>(Update</w:t>
      </w:r>
      <w:r w:rsidR="00E567CA">
        <w:rPr>
          <w:sz w:val="20"/>
          <w:szCs w:val="20"/>
        </w:rPr>
        <w:t>d</w:t>
      </w:r>
      <w:r>
        <w:rPr>
          <w:sz w:val="20"/>
          <w:szCs w:val="20"/>
        </w:rPr>
        <w:t>:  June 12, 2017)</w:t>
      </w:r>
    </w:p>
    <w:p w14:paraId="69426C74" w14:textId="77777777" w:rsidR="00223284" w:rsidRPr="00DF532E" w:rsidRDefault="00223284">
      <w:pPr>
        <w:jc w:val="center"/>
        <w:rPr>
          <w:sz w:val="10"/>
          <w:szCs w:val="10"/>
        </w:rPr>
      </w:pPr>
    </w:p>
    <w:p w14:paraId="34479ABF" w14:textId="77777777" w:rsidR="00223284" w:rsidRDefault="008F3649">
      <w:pPr>
        <w:jc w:val="both"/>
      </w:pPr>
      <w:r>
        <w:t>Small businesses need cash to start-up, operate and grow.   This document provides you with an overview of where these funds can come from and how expensive they may be.</w:t>
      </w:r>
    </w:p>
    <w:p w14:paraId="3A086DD9" w14:textId="77777777" w:rsidR="00223284" w:rsidRPr="00DF532E" w:rsidRDefault="00223284">
      <w:pPr>
        <w:jc w:val="both"/>
        <w:rPr>
          <w:sz w:val="10"/>
          <w:szCs w:val="10"/>
        </w:rPr>
      </w:pPr>
    </w:p>
    <w:p w14:paraId="706AFD37" w14:textId="77777777" w:rsidR="00223284" w:rsidRDefault="00223284">
      <w:pPr>
        <w:jc w:val="both"/>
        <w:rPr>
          <w:sz w:val="10"/>
          <w:szCs w:val="10"/>
        </w:rPr>
      </w:pPr>
    </w:p>
    <w:p w14:paraId="53810996" w14:textId="77777777" w:rsidR="00223284" w:rsidRDefault="008F3649">
      <w:pPr>
        <w:jc w:val="both"/>
        <w:rPr>
          <w:b/>
        </w:rPr>
      </w:pPr>
      <w:r>
        <w:rPr>
          <w:b/>
        </w:rPr>
        <w:t>Capital (or Equity) vs. Credit</w:t>
      </w:r>
    </w:p>
    <w:p w14:paraId="18599AD5" w14:textId="77777777" w:rsidR="00223284" w:rsidRDefault="008F3649">
      <w:pPr>
        <w:jc w:val="both"/>
      </w:pPr>
      <w:r>
        <w:rPr>
          <w:b/>
          <w:color w:val="000090"/>
        </w:rPr>
        <w:t>Funds contributed by investors to a business is called “equity” or “capital.”</w:t>
      </w:r>
      <w:r>
        <w:t xml:space="preserve">  Investors that contribute capital to a business expect to get a significant return on their investment when the business succeeds.  Businesses reward owners through cash dividends (which are optional), sometimes through discounts on the goods or services the business provides, and by a substantial payment for their share of the business if the business is sold.</w:t>
      </w:r>
    </w:p>
    <w:p w14:paraId="4095A0F7" w14:textId="77777777" w:rsidR="00223284" w:rsidRDefault="00223284">
      <w:pPr>
        <w:jc w:val="both"/>
      </w:pPr>
    </w:p>
    <w:p w14:paraId="474CF76D" w14:textId="77777777" w:rsidR="00223284" w:rsidRDefault="008F3649">
      <w:pPr>
        <w:jc w:val="both"/>
      </w:pPr>
      <w:r>
        <w:rPr>
          <w:b/>
          <w:color w:val="000090"/>
        </w:rPr>
        <w:t>Funds that are lent to businesses with an agreement to get repaid with interest is called “debt” or “credit.”</w:t>
      </w:r>
      <w:r>
        <w:t xml:space="preserve">   Small businesses use credit when they want to expand, to purchase new products to sell (called inventory) and new equipment, and/or to help them keep their business operating during a period when sales are down.  Businesses repay their debt (or loan) in regular monthly payments that include both an interest payment and a repayment of the amount borrowed.  (Definition:  the amount borrowed is called the “principal.”)</w:t>
      </w:r>
    </w:p>
    <w:p w14:paraId="6EBCE650" w14:textId="77777777" w:rsidR="00223284" w:rsidRDefault="00223284">
      <w:pPr>
        <w:jc w:val="both"/>
      </w:pPr>
    </w:p>
    <w:p w14:paraId="5FDC8378" w14:textId="77777777" w:rsidR="00223284" w:rsidRDefault="00223284">
      <w:pPr>
        <w:jc w:val="both"/>
        <w:rPr>
          <w:sz w:val="10"/>
          <w:szCs w:val="10"/>
        </w:rPr>
      </w:pPr>
    </w:p>
    <w:p w14:paraId="29AC8EE7" w14:textId="77777777" w:rsidR="00223284" w:rsidRDefault="008F3649">
      <w:pPr>
        <w:jc w:val="both"/>
        <w:rPr>
          <w:b/>
        </w:rPr>
      </w:pPr>
      <w:r>
        <w:rPr>
          <w:b/>
        </w:rPr>
        <w:t>The Cost of Capital and Credit</w:t>
      </w:r>
    </w:p>
    <w:p w14:paraId="5BF2F481" w14:textId="77777777" w:rsidR="00223284" w:rsidRDefault="008F3649">
      <w:pPr>
        <w:jc w:val="both"/>
      </w:pPr>
      <w:r>
        <w:t>Different types of credit cost different amounts of money:</w:t>
      </w:r>
    </w:p>
    <w:p w14:paraId="129AE8BC" w14:textId="77777777" w:rsidR="00223284" w:rsidRDefault="00223284">
      <w:pPr>
        <w:jc w:val="both"/>
        <w:rPr>
          <w:sz w:val="16"/>
          <w:szCs w:val="16"/>
        </w:rPr>
      </w:pPr>
    </w:p>
    <w:p w14:paraId="5BDF2F0A" w14:textId="77777777" w:rsidR="00223284" w:rsidRDefault="008F3649">
      <w:pPr>
        <w:numPr>
          <w:ilvl w:val="0"/>
          <w:numId w:val="1"/>
        </w:numPr>
        <w:ind w:left="360" w:hanging="270"/>
        <w:jc w:val="both"/>
      </w:pPr>
      <w:r>
        <w:rPr>
          <w:u w:val="single"/>
        </w:rPr>
        <w:t>Secured Bank Debt (least expensive debt)</w:t>
      </w:r>
      <w:r>
        <w:t xml:space="preserve"> – credit is </w:t>
      </w:r>
      <w:r>
        <w:rPr>
          <w:i/>
        </w:rPr>
        <w:t>least</w:t>
      </w:r>
      <w:r>
        <w:t xml:space="preserve"> expensive when credit-worthy owners of a company give a personal guarantee that if the business fails they will personally be responsible for paying back the debt. This is called guaranteed or “secured” debt.  This gives the bank, company or individual loaning the funds a second option for collecting the money owed them if the business fails.</w:t>
      </w:r>
    </w:p>
    <w:p w14:paraId="1C1C7C0F" w14:textId="77777777" w:rsidR="00223284" w:rsidRDefault="00223284">
      <w:pPr>
        <w:ind w:left="360"/>
        <w:jc w:val="both"/>
        <w:rPr>
          <w:sz w:val="6"/>
          <w:szCs w:val="6"/>
        </w:rPr>
      </w:pPr>
    </w:p>
    <w:p w14:paraId="0BD014BC" w14:textId="77777777" w:rsidR="00223284" w:rsidRDefault="008F3649">
      <w:pPr>
        <w:ind w:left="360"/>
        <w:jc w:val="both"/>
      </w:pPr>
      <w:r>
        <w:t>If the company uses the credit to purchase equipment – like a truck – the bank may ask for the debt to be secured by the equipment in addition to a personal guarantee by the owner.  That means the bank gets to repossess the equipment if the business fails.  In this worst case scenario the bank hopes that the money they get from selling the equipment they repossess will help pay back at least some of the unpaid loan;</w:t>
      </w:r>
    </w:p>
    <w:p w14:paraId="48B81623" w14:textId="77777777" w:rsidR="00223284" w:rsidRDefault="00223284">
      <w:pPr>
        <w:jc w:val="both"/>
        <w:rPr>
          <w:sz w:val="16"/>
          <w:szCs w:val="16"/>
        </w:rPr>
      </w:pPr>
    </w:p>
    <w:p w14:paraId="59360C23" w14:textId="77777777" w:rsidR="00223284" w:rsidRDefault="008F3649">
      <w:pPr>
        <w:numPr>
          <w:ilvl w:val="0"/>
          <w:numId w:val="1"/>
        </w:numPr>
        <w:ind w:left="360" w:hanging="270"/>
        <w:jc w:val="both"/>
      </w:pPr>
      <w:r>
        <w:rPr>
          <w:u w:val="single"/>
        </w:rPr>
        <w:t>Unsecured Bank Debt (expensive)</w:t>
      </w:r>
      <w:r>
        <w:t xml:space="preserve"> – credit is </w:t>
      </w:r>
      <w:r>
        <w:rPr>
          <w:i/>
        </w:rPr>
        <w:t>more</w:t>
      </w:r>
      <w:r>
        <w:t xml:space="preserve"> expensive when the owners of a company provide lots of information to the lender but do </w:t>
      </w:r>
      <w:r>
        <w:rPr>
          <w:i/>
        </w:rPr>
        <w:t>not</w:t>
      </w:r>
      <w:r>
        <w:t xml:space="preserve"> provide personal guarantees.  Banks (and credit card companies) charge more because they don’t have any other way of getting their money back if the business fails.</w:t>
      </w:r>
    </w:p>
    <w:p w14:paraId="097C893D" w14:textId="77777777" w:rsidR="00223284" w:rsidRDefault="00223284">
      <w:pPr>
        <w:ind w:left="360"/>
        <w:jc w:val="both"/>
        <w:rPr>
          <w:sz w:val="6"/>
          <w:szCs w:val="6"/>
        </w:rPr>
      </w:pPr>
    </w:p>
    <w:p w14:paraId="09A99991" w14:textId="77777777" w:rsidR="00223284" w:rsidRDefault="008F3649">
      <w:pPr>
        <w:ind w:left="360"/>
        <w:jc w:val="both"/>
      </w:pPr>
      <w:r>
        <w:t xml:space="preserve">Some small business use unsecured debt because their owners’ personal financial situation is such that the lender does not offer secured debt – the bank believes that the small business owner would </w:t>
      </w:r>
      <w:r>
        <w:rPr>
          <w:i/>
        </w:rPr>
        <w:t>not</w:t>
      </w:r>
      <w:r>
        <w:t xml:space="preserve"> be able to repay the money owed if the business failed;  and</w:t>
      </w:r>
    </w:p>
    <w:p w14:paraId="4A751030" w14:textId="77777777" w:rsidR="00223284" w:rsidRDefault="00223284">
      <w:pPr>
        <w:jc w:val="both"/>
        <w:rPr>
          <w:sz w:val="16"/>
          <w:szCs w:val="16"/>
        </w:rPr>
      </w:pPr>
    </w:p>
    <w:p w14:paraId="07FAEA57" w14:textId="77777777" w:rsidR="00223284" w:rsidRDefault="008F3649">
      <w:pPr>
        <w:numPr>
          <w:ilvl w:val="0"/>
          <w:numId w:val="1"/>
        </w:numPr>
        <w:ind w:left="360" w:hanging="270"/>
        <w:contextualSpacing/>
        <w:jc w:val="both"/>
      </w:pPr>
      <w:r>
        <w:rPr>
          <w:u w:val="single"/>
        </w:rPr>
        <w:t>Unsecured Debt (most expensive)</w:t>
      </w:r>
      <w:r>
        <w:t xml:space="preserve"> – credit is </w:t>
      </w:r>
      <w:r>
        <w:rPr>
          <w:i/>
        </w:rPr>
        <w:t>most</w:t>
      </w:r>
      <w:r>
        <w:t xml:space="preserve"> expensive when companies provide little information and do </w:t>
      </w:r>
      <w:r>
        <w:rPr>
          <w:i/>
        </w:rPr>
        <w:t>not</w:t>
      </w:r>
      <w:r>
        <w:t xml:space="preserve"> provide a personal guarantee.  Credit cards are a good example of unsecured debt.  Most small businesses can get a credit card relatively easily with a short application.  No personal guarantee is necessary.  But the interest rate on the money borrowed using the credit card is very, very high.</w:t>
      </w:r>
    </w:p>
    <w:p w14:paraId="3FFCCA78" w14:textId="77777777" w:rsidR="00223284" w:rsidRDefault="00223284">
      <w:pPr>
        <w:ind w:left="360"/>
        <w:jc w:val="both"/>
        <w:rPr>
          <w:sz w:val="6"/>
          <w:szCs w:val="6"/>
        </w:rPr>
      </w:pPr>
    </w:p>
    <w:p w14:paraId="5FF046A4" w14:textId="77777777" w:rsidR="00223284" w:rsidRDefault="008F3649">
      <w:pPr>
        <w:ind w:left="360"/>
        <w:jc w:val="both"/>
      </w:pPr>
      <w:r>
        <w:t xml:space="preserve">These days there are many new websites that offer credit to small businesses on very convenient terms – simple applications, quick decisions, flexible terms, interest rates that start high but come down the longer the debt is outstanding.  (Definition:  a debt is outstanding if it’s not yet paid back.)  </w:t>
      </w:r>
      <w:r>
        <w:br w:type="page"/>
      </w:r>
    </w:p>
    <w:p w14:paraId="1FD2F4BF" w14:textId="77777777" w:rsidR="00223284" w:rsidRDefault="008F3649">
      <w:pPr>
        <w:jc w:val="both"/>
        <w:rPr>
          <w:b/>
          <w:i/>
        </w:rPr>
      </w:pPr>
      <w:r>
        <w:lastRenderedPageBreak/>
        <w:t xml:space="preserve">The table below provides a summary of the cost of different types of capital and credit, </w:t>
      </w:r>
      <w:r>
        <w:rPr>
          <w:i/>
        </w:rPr>
        <w:t>including new types of online credit and “special” types of capital that might be particularly affordable for small businesses.</w:t>
      </w:r>
    </w:p>
    <w:p w14:paraId="7B03FDD4" w14:textId="77777777" w:rsidR="00223284" w:rsidRDefault="00223284">
      <w:pPr>
        <w:jc w:val="both"/>
      </w:pPr>
    </w:p>
    <w:tbl>
      <w:tblPr>
        <w:tblStyle w:val="a"/>
        <w:tblW w:w="1098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7"/>
        <w:gridCol w:w="2106"/>
        <w:gridCol w:w="6725"/>
        <w:gridCol w:w="1320"/>
      </w:tblGrid>
      <w:tr w:rsidR="00223284" w14:paraId="7FB86B54" w14:textId="77777777">
        <w:tc>
          <w:tcPr>
            <w:tcW w:w="2943" w:type="dxa"/>
            <w:gridSpan w:val="2"/>
            <w:shd w:val="clear" w:color="auto" w:fill="F2F2F2"/>
            <w:vAlign w:val="center"/>
          </w:tcPr>
          <w:p w14:paraId="632DA1EE" w14:textId="77777777" w:rsidR="00223284" w:rsidRDefault="008F3649">
            <w:pPr>
              <w:spacing w:before="100" w:after="100"/>
              <w:contextualSpacing w:val="0"/>
              <w:jc w:val="center"/>
              <w:rPr>
                <w:b/>
                <w:color w:val="000090"/>
                <w:sz w:val="21"/>
                <w:szCs w:val="21"/>
              </w:rPr>
            </w:pPr>
            <w:r>
              <w:rPr>
                <w:b/>
                <w:color w:val="000090"/>
                <w:sz w:val="21"/>
                <w:szCs w:val="21"/>
              </w:rPr>
              <w:t>Type of Capital / Credit</w:t>
            </w:r>
          </w:p>
        </w:tc>
        <w:tc>
          <w:tcPr>
            <w:tcW w:w="6725" w:type="dxa"/>
            <w:shd w:val="clear" w:color="auto" w:fill="F2F2F2"/>
            <w:vAlign w:val="center"/>
          </w:tcPr>
          <w:p w14:paraId="68AA014C" w14:textId="77777777" w:rsidR="00223284" w:rsidRDefault="008F3649">
            <w:pPr>
              <w:spacing w:before="100" w:after="100"/>
              <w:contextualSpacing w:val="0"/>
              <w:jc w:val="center"/>
              <w:rPr>
                <w:b/>
                <w:color w:val="000090"/>
                <w:sz w:val="21"/>
                <w:szCs w:val="21"/>
              </w:rPr>
            </w:pPr>
            <w:r>
              <w:rPr>
                <w:b/>
                <w:color w:val="000090"/>
                <w:sz w:val="21"/>
                <w:szCs w:val="21"/>
              </w:rPr>
              <w:t>Description</w:t>
            </w:r>
          </w:p>
        </w:tc>
        <w:tc>
          <w:tcPr>
            <w:tcW w:w="1320" w:type="dxa"/>
            <w:shd w:val="clear" w:color="auto" w:fill="F2F2F2"/>
            <w:vAlign w:val="center"/>
          </w:tcPr>
          <w:p w14:paraId="5D00B8A5" w14:textId="77777777" w:rsidR="00223284" w:rsidRDefault="008F3649">
            <w:pPr>
              <w:spacing w:before="100" w:after="100"/>
              <w:contextualSpacing w:val="0"/>
              <w:jc w:val="center"/>
              <w:rPr>
                <w:b/>
                <w:color w:val="000090"/>
                <w:sz w:val="21"/>
                <w:szCs w:val="21"/>
              </w:rPr>
            </w:pPr>
            <w:r>
              <w:rPr>
                <w:b/>
                <w:color w:val="000090"/>
                <w:sz w:val="21"/>
                <w:szCs w:val="21"/>
              </w:rPr>
              <w:t>Affordability</w:t>
            </w:r>
          </w:p>
        </w:tc>
      </w:tr>
      <w:tr w:rsidR="00223284" w14:paraId="61C922B7" w14:textId="77777777">
        <w:tc>
          <w:tcPr>
            <w:tcW w:w="837" w:type="dxa"/>
            <w:vMerge w:val="restart"/>
            <w:shd w:val="clear" w:color="auto" w:fill="FFFF87"/>
            <w:vAlign w:val="center"/>
          </w:tcPr>
          <w:p w14:paraId="60FA6A1A" w14:textId="77777777" w:rsidR="00223284" w:rsidRDefault="008F3649">
            <w:pPr>
              <w:spacing w:before="100" w:after="100"/>
              <w:contextualSpacing w:val="0"/>
              <w:rPr>
                <w:sz w:val="21"/>
                <w:szCs w:val="21"/>
              </w:rPr>
            </w:pPr>
            <w:r>
              <w:rPr>
                <w:sz w:val="21"/>
                <w:szCs w:val="21"/>
              </w:rPr>
              <w:t>Credit (or Debt)</w:t>
            </w:r>
          </w:p>
        </w:tc>
        <w:tc>
          <w:tcPr>
            <w:tcW w:w="2106" w:type="dxa"/>
            <w:shd w:val="clear" w:color="auto" w:fill="FFFFC0"/>
            <w:vAlign w:val="center"/>
          </w:tcPr>
          <w:p w14:paraId="01C55991" w14:textId="77777777" w:rsidR="00223284" w:rsidRDefault="008F3649">
            <w:pPr>
              <w:spacing w:before="100" w:after="100"/>
              <w:contextualSpacing w:val="0"/>
              <w:rPr>
                <w:sz w:val="21"/>
                <w:szCs w:val="21"/>
              </w:rPr>
            </w:pPr>
            <w:r>
              <w:rPr>
                <w:sz w:val="21"/>
                <w:szCs w:val="21"/>
              </w:rPr>
              <w:t>Secured Bank Loan (also called: Secured Line of Credit)</w:t>
            </w:r>
          </w:p>
        </w:tc>
        <w:tc>
          <w:tcPr>
            <w:tcW w:w="6725" w:type="dxa"/>
            <w:shd w:val="clear" w:color="auto" w:fill="FFFFC0"/>
            <w:vAlign w:val="center"/>
          </w:tcPr>
          <w:p w14:paraId="0B09B54B" w14:textId="77777777" w:rsidR="00223284" w:rsidRDefault="008F3649">
            <w:pPr>
              <w:spacing w:before="100" w:after="100"/>
              <w:contextualSpacing w:val="0"/>
              <w:rPr>
                <w:sz w:val="21"/>
                <w:szCs w:val="21"/>
              </w:rPr>
            </w:pPr>
            <w:r>
              <w:rPr>
                <w:sz w:val="21"/>
                <w:szCs w:val="21"/>
              </w:rPr>
              <w:t>The small business owner submits an extensive application plus:  a) past tax returns;  b) personal and company financial statements; and  c) company banking contacts;  the bank responds within days or weeks;  approval rates can be low and the loan may charge an upfront “origination” fee.</w:t>
            </w:r>
          </w:p>
        </w:tc>
        <w:tc>
          <w:tcPr>
            <w:tcW w:w="1320" w:type="dxa"/>
            <w:shd w:val="clear" w:color="auto" w:fill="FFFFC0"/>
            <w:vAlign w:val="center"/>
          </w:tcPr>
          <w:p w14:paraId="0E7CB8C5" w14:textId="77777777" w:rsidR="00223284" w:rsidRDefault="008F3649">
            <w:pPr>
              <w:spacing w:before="100" w:after="100"/>
              <w:contextualSpacing w:val="0"/>
              <w:jc w:val="center"/>
              <w:rPr>
                <w:sz w:val="21"/>
                <w:szCs w:val="21"/>
              </w:rPr>
            </w:pPr>
            <w:r>
              <w:rPr>
                <w:sz w:val="21"/>
                <w:szCs w:val="21"/>
              </w:rPr>
              <w:t>Lowest Cost Debt</w:t>
            </w:r>
          </w:p>
        </w:tc>
      </w:tr>
      <w:tr w:rsidR="00223284" w14:paraId="2531F8C5" w14:textId="77777777">
        <w:tc>
          <w:tcPr>
            <w:tcW w:w="837" w:type="dxa"/>
            <w:vMerge/>
            <w:shd w:val="clear" w:color="auto" w:fill="FFFF87"/>
            <w:vAlign w:val="center"/>
          </w:tcPr>
          <w:p w14:paraId="7C45AA2B" w14:textId="77777777" w:rsidR="00223284" w:rsidRDefault="00223284">
            <w:pPr>
              <w:spacing w:before="100" w:after="100"/>
              <w:contextualSpacing w:val="0"/>
              <w:rPr>
                <w:sz w:val="21"/>
                <w:szCs w:val="21"/>
              </w:rPr>
            </w:pPr>
          </w:p>
        </w:tc>
        <w:tc>
          <w:tcPr>
            <w:tcW w:w="2106" w:type="dxa"/>
            <w:shd w:val="clear" w:color="auto" w:fill="FFFFE1"/>
            <w:vAlign w:val="center"/>
          </w:tcPr>
          <w:p w14:paraId="179E3A7F" w14:textId="77777777" w:rsidR="00223284" w:rsidRDefault="008F3649">
            <w:pPr>
              <w:spacing w:before="100" w:after="100"/>
              <w:contextualSpacing w:val="0"/>
              <w:rPr>
                <w:sz w:val="21"/>
                <w:szCs w:val="21"/>
              </w:rPr>
            </w:pPr>
            <w:r>
              <w:rPr>
                <w:sz w:val="21"/>
                <w:szCs w:val="21"/>
              </w:rPr>
              <w:t>Unsecured Line of Credit (or Credit Card)</w:t>
            </w:r>
          </w:p>
        </w:tc>
        <w:tc>
          <w:tcPr>
            <w:tcW w:w="6725" w:type="dxa"/>
            <w:shd w:val="clear" w:color="auto" w:fill="FFFFE1"/>
            <w:vAlign w:val="center"/>
          </w:tcPr>
          <w:p w14:paraId="2C36CBD1" w14:textId="77777777" w:rsidR="00223284" w:rsidRDefault="008F3649">
            <w:pPr>
              <w:spacing w:before="100" w:after="100"/>
              <w:contextualSpacing w:val="0"/>
              <w:rPr>
                <w:sz w:val="21"/>
                <w:szCs w:val="21"/>
              </w:rPr>
            </w:pPr>
            <w:r>
              <w:rPr>
                <w:sz w:val="21"/>
                <w:szCs w:val="21"/>
              </w:rPr>
              <w:t>The owner submits a short application without supporting documents; fast credit card company response with high approval rates; annual card fees.</w:t>
            </w:r>
          </w:p>
        </w:tc>
        <w:tc>
          <w:tcPr>
            <w:tcW w:w="1320" w:type="dxa"/>
            <w:shd w:val="clear" w:color="auto" w:fill="FFFFE1"/>
            <w:vAlign w:val="center"/>
          </w:tcPr>
          <w:p w14:paraId="4D35D4CF" w14:textId="77777777" w:rsidR="00223284" w:rsidRDefault="008F3649">
            <w:pPr>
              <w:spacing w:before="100" w:after="100"/>
              <w:contextualSpacing w:val="0"/>
              <w:jc w:val="center"/>
              <w:rPr>
                <w:sz w:val="21"/>
                <w:szCs w:val="21"/>
              </w:rPr>
            </w:pPr>
            <w:r>
              <w:rPr>
                <w:sz w:val="21"/>
                <w:szCs w:val="21"/>
              </w:rPr>
              <w:t>High Cost Debt</w:t>
            </w:r>
          </w:p>
        </w:tc>
      </w:tr>
      <w:tr w:rsidR="00223284" w14:paraId="4DEA4821" w14:textId="77777777">
        <w:tc>
          <w:tcPr>
            <w:tcW w:w="837" w:type="dxa"/>
            <w:vMerge/>
            <w:shd w:val="clear" w:color="auto" w:fill="FFFF87"/>
            <w:vAlign w:val="center"/>
          </w:tcPr>
          <w:p w14:paraId="092162CE" w14:textId="77777777" w:rsidR="00223284" w:rsidRDefault="00223284">
            <w:pPr>
              <w:spacing w:before="100" w:after="100"/>
              <w:contextualSpacing w:val="0"/>
              <w:rPr>
                <w:sz w:val="21"/>
                <w:szCs w:val="21"/>
              </w:rPr>
            </w:pPr>
          </w:p>
        </w:tc>
        <w:tc>
          <w:tcPr>
            <w:tcW w:w="2106" w:type="dxa"/>
            <w:shd w:val="clear" w:color="auto" w:fill="FFFFC0"/>
            <w:vAlign w:val="center"/>
          </w:tcPr>
          <w:p w14:paraId="60D82604" w14:textId="77777777" w:rsidR="00223284" w:rsidRDefault="008F3649">
            <w:pPr>
              <w:spacing w:before="100" w:after="100"/>
              <w:contextualSpacing w:val="0"/>
              <w:rPr>
                <w:sz w:val="21"/>
                <w:szCs w:val="21"/>
              </w:rPr>
            </w:pPr>
            <w:r>
              <w:rPr>
                <w:sz w:val="21"/>
                <w:szCs w:val="21"/>
              </w:rPr>
              <w:t>Online Credit</w:t>
            </w:r>
          </w:p>
        </w:tc>
        <w:tc>
          <w:tcPr>
            <w:tcW w:w="6725" w:type="dxa"/>
            <w:shd w:val="clear" w:color="auto" w:fill="FFFFC0"/>
            <w:vAlign w:val="center"/>
          </w:tcPr>
          <w:p w14:paraId="5F375599" w14:textId="77777777" w:rsidR="00223284" w:rsidRDefault="008F3649">
            <w:pPr>
              <w:spacing w:before="100" w:after="100"/>
              <w:contextualSpacing w:val="0"/>
              <w:rPr>
                <w:sz w:val="21"/>
                <w:szCs w:val="21"/>
              </w:rPr>
            </w:pPr>
            <w:r>
              <w:rPr>
                <w:sz w:val="21"/>
                <w:szCs w:val="21"/>
              </w:rPr>
              <w:t>The owner completes a short online application without supporting documentation; decisions are almost immediate with high approval rates;  owners can access the cash in convenient ways and only when they need the funds but interest rates are very high.</w:t>
            </w:r>
          </w:p>
        </w:tc>
        <w:tc>
          <w:tcPr>
            <w:tcW w:w="1320" w:type="dxa"/>
            <w:shd w:val="clear" w:color="auto" w:fill="FFFFC0"/>
            <w:vAlign w:val="center"/>
          </w:tcPr>
          <w:p w14:paraId="68DBA8DE" w14:textId="77777777" w:rsidR="00223284" w:rsidRDefault="008F3649">
            <w:pPr>
              <w:spacing w:before="100" w:after="100"/>
              <w:contextualSpacing w:val="0"/>
              <w:jc w:val="center"/>
              <w:rPr>
                <w:sz w:val="21"/>
                <w:szCs w:val="21"/>
              </w:rPr>
            </w:pPr>
            <w:r>
              <w:rPr>
                <w:sz w:val="21"/>
                <w:szCs w:val="21"/>
              </w:rPr>
              <w:t>Highest Cost Debt</w:t>
            </w:r>
          </w:p>
        </w:tc>
      </w:tr>
      <w:tr w:rsidR="00223284" w14:paraId="5833C280" w14:textId="77777777">
        <w:tc>
          <w:tcPr>
            <w:tcW w:w="837" w:type="dxa"/>
            <w:vMerge w:val="restart"/>
            <w:shd w:val="clear" w:color="auto" w:fill="D6BDFF"/>
            <w:vAlign w:val="center"/>
          </w:tcPr>
          <w:p w14:paraId="2FDE0104" w14:textId="77777777" w:rsidR="00223284" w:rsidRDefault="008F3649">
            <w:pPr>
              <w:spacing w:before="100" w:after="100"/>
              <w:contextualSpacing w:val="0"/>
              <w:rPr>
                <w:sz w:val="21"/>
                <w:szCs w:val="21"/>
              </w:rPr>
            </w:pPr>
            <w:r>
              <w:rPr>
                <w:sz w:val="21"/>
                <w:szCs w:val="21"/>
              </w:rPr>
              <w:t>Capital (or Equity)</w:t>
            </w:r>
          </w:p>
        </w:tc>
        <w:tc>
          <w:tcPr>
            <w:tcW w:w="2106" w:type="dxa"/>
            <w:shd w:val="clear" w:color="auto" w:fill="E1CFFF"/>
            <w:vAlign w:val="center"/>
          </w:tcPr>
          <w:p w14:paraId="72D9C6EC" w14:textId="77777777" w:rsidR="00223284" w:rsidRDefault="008F3649">
            <w:pPr>
              <w:spacing w:before="100" w:after="100"/>
              <w:contextualSpacing w:val="0"/>
              <w:rPr>
                <w:sz w:val="21"/>
                <w:szCs w:val="21"/>
              </w:rPr>
            </w:pPr>
            <w:r>
              <w:rPr>
                <w:sz w:val="21"/>
                <w:szCs w:val="21"/>
              </w:rPr>
              <w:t>“Sweat Equity”</w:t>
            </w:r>
          </w:p>
        </w:tc>
        <w:tc>
          <w:tcPr>
            <w:tcW w:w="8045" w:type="dxa"/>
            <w:gridSpan w:val="2"/>
            <w:shd w:val="clear" w:color="auto" w:fill="E1CFFF"/>
            <w:vAlign w:val="center"/>
          </w:tcPr>
          <w:p w14:paraId="27B14F16" w14:textId="77777777" w:rsidR="00223284" w:rsidRDefault="008F3649">
            <w:pPr>
              <w:spacing w:before="100" w:after="100"/>
              <w:contextualSpacing w:val="0"/>
              <w:rPr>
                <w:sz w:val="21"/>
                <w:szCs w:val="21"/>
              </w:rPr>
            </w:pPr>
            <w:r>
              <w:rPr>
                <w:sz w:val="21"/>
                <w:szCs w:val="21"/>
              </w:rPr>
              <w:t xml:space="preserve">The hard work a small business owner puts into forming, founding and operating his/her business – small business owners typically work </w:t>
            </w:r>
            <w:r>
              <w:rPr>
                <w:i/>
                <w:sz w:val="21"/>
                <w:szCs w:val="21"/>
                <w:u w:val="single"/>
              </w:rPr>
              <w:t>very</w:t>
            </w:r>
            <w:r>
              <w:rPr>
                <w:sz w:val="21"/>
                <w:szCs w:val="21"/>
              </w:rPr>
              <w:t xml:space="preserve"> long hours.  Sweat equity is as important as any capital but it’s not a cash investment.  </w:t>
            </w:r>
          </w:p>
        </w:tc>
      </w:tr>
      <w:tr w:rsidR="00223284" w14:paraId="4759FBE5" w14:textId="77777777">
        <w:tc>
          <w:tcPr>
            <w:tcW w:w="837" w:type="dxa"/>
            <w:vMerge/>
            <w:shd w:val="clear" w:color="auto" w:fill="D6BDFF"/>
            <w:vAlign w:val="center"/>
          </w:tcPr>
          <w:p w14:paraId="54B99B97" w14:textId="77777777" w:rsidR="00223284" w:rsidRDefault="00223284">
            <w:pPr>
              <w:spacing w:before="100" w:after="100"/>
              <w:contextualSpacing w:val="0"/>
              <w:rPr>
                <w:sz w:val="21"/>
                <w:szCs w:val="21"/>
              </w:rPr>
            </w:pPr>
          </w:p>
        </w:tc>
        <w:tc>
          <w:tcPr>
            <w:tcW w:w="2106" w:type="dxa"/>
            <w:shd w:val="clear" w:color="auto" w:fill="F2E8FF"/>
            <w:vAlign w:val="center"/>
          </w:tcPr>
          <w:p w14:paraId="6F92C9B1" w14:textId="77777777" w:rsidR="00223284" w:rsidRDefault="008F3649">
            <w:pPr>
              <w:spacing w:before="100" w:after="100"/>
              <w:contextualSpacing w:val="0"/>
              <w:rPr>
                <w:sz w:val="21"/>
                <w:szCs w:val="21"/>
              </w:rPr>
            </w:pPr>
            <w:r>
              <w:rPr>
                <w:sz w:val="21"/>
                <w:szCs w:val="21"/>
              </w:rPr>
              <w:t>Investor Equity</w:t>
            </w:r>
          </w:p>
        </w:tc>
        <w:tc>
          <w:tcPr>
            <w:tcW w:w="6725" w:type="dxa"/>
            <w:shd w:val="clear" w:color="auto" w:fill="F2E8FF"/>
          </w:tcPr>
          <w:p w14:paraId="6D508355" w14:textId="77777777" w:rsidR="00223284" w:rsidRDefault="008F3649">
            <w:pPr>
              <w:spacing w:before="100" w:after="100"/>
              <w:contextualSpacing w:val="0"/>
              <w:rPr>
                <w:sz w:val="21"/>
                <w:szCs w:val="21"/>
              </w:rPr>
            </w:pPr>
            <w:r>
              <w:rPr>
                <w:sz w:val="21"/>
                <w:szCs w:val="21"/>
              </w:rPr>
              <w:t>Investors provide capital for a small business because they expect a return - future cash dividends, sometimes discounts on what the business provides and then their share of the proceeds if / when the company gets purchased.</w:t>
            </w:r>
          </w:p>
        </w:tc>
        <w:tc>
          <w:tcPr>
            <w:tcW w:w="1320" w:type="dxa"/>
            <w:shd w:val="clear" w:color="auto" w:fill="F2E8FF"/>
            <w:vAlign w:val="center"/>
          </w:tcPr>
          <w:p w14:paraId="44CB53C8" w14:textId="77777777" w:rsidR="00223284" w:rsidRDefault="008F3649">
            <w:pPr>
              <w:spacing w:before="100" w:after="100"/>
              <w:contextualSpacing w:val="0"/>
              <w:jc w:val="center"/>
              <w:rPr>
                <w:sz w:val="21"/>
                <w:szCs w:val="21"/>
              </w:rPr>
            </w:pPr>
            <w:r>
              <w:rPr>
                <w:sz w:val="21"/>
                <w:szCs w:val="21"/>
              </w:rPr>
              <w:t>High Cost Equity</w:t>
            </w:r>
          </w:p>
        </w:tc>
      </w:tr>
      <w:tr w:rsidR="00223284" w14:paraId="70C5735C" w14:textId="77777777">
        <w:tc>
          <w:tcPr>
            <w:tcW w:w="837" w:type="dxa"/>
            <w:vMerge/>
            <w:shd w:val="clear" w:color="auto" w:fill="D6BDFF"/>
            <w:vAlign w:val="center"/>
          </w:tcPr>
          <w:p w14:paraId="62214AAB" w14:textId="77777777" w:rsidR="00223284" w:rsidRDefault="00223284">
            <w:pPr>
              <w:spacing w:before="100" w:after="100"/>
              <w:contextualSpacing w:val="0"/>
              <w:rPr>
                <w:sz w:val="21"/>
                <w:szCs w:val="21"/>
              </w:rPr>
            </w:pPr>
          </w:p>
        </w:tc>
        <w:tc>
          <w:tcPr>
            <w:tcW w:w="2106" w:type="dxa"/>
            <w:shd w:val="clear" w:color="auto" w:fill="E1CFFF"/>
            <w:vAlign w:val="center"/>
          </w:tcPr>
          <w:p w14:paraId="323A7117" w14:textId="77777777" w:rsidR="00223284" w:rsidRDefault="008F3649">
            <w:pPr>
              <w:spacing w:before="100" w:after="100"/>
              <w:contextualSpacing w:val="0"/>
              <w:rPr>
                <w:sz w:val="21"/>
                <w:szCs w:val="21"/>
              </w:rPr>
            </w:pPr>
            <w:r>
              <w:rPr>
                <w:sz w:val="21"/>
                <w:szCs w:val="21"/>
              </w:rPr>
              <w:t>“Angel Investors” or “Crowdfunding”</w:t>
            </w:r>
          </w:p>
        </w:tc>
        <w:tc>
          <w:tcPr>
            <w:tcW w:w="6725" w:type="dxa"/>
            <w:shd w:val="clear" w:color="auto" w:fill="E1CFFF"/>
          </w:tcPr>
          <w:p w14:paraId="07115993" w14:textId="77777777" w:rsidR="00223284" w:rsidRDefault="008F3649">
            <w:pPr>
              <w:spacing w:before="100" w:after="100"/>
              <w:contextualSpacing w:val="0"/>
              <w:rPr>
                <w:sz w:val="21"/>
                <w:szCs w:val="21"/>
              </w:rPr>
            </w:pPr>
            <w:r>
              <w:rPr>
                <w:sz w:val="21"/>
                <w:szCs w:val="21"/>
              </w:rPr>
              <w:t xml:space="preserve">Small investments by lots of different individuals who want to see the small business owner succeed.  </w:t>
            </w:r>
          </w:p>
          <w:p w14:paraId="3FA60431" w14:textId="77777777" w:rsidR="00223284" w:rsidRDefault="008F3649">
            <w:pPr>
              <w:spacing w:before="100" w:after="100"/>
              <w:contextualSpacing w:val="0"/>
              <w:rPr>
                <w:sz w:val="21"/>
                <w:szCs w:val="21"/>
              </w:rPr>
            </w:pPr>
            <w:r>
              <w:rPr>
                <w:sz w:val="21"/>
                <w:szCs w:val="21"/>
              </w:rPr>
              <w:t xml:space="preserve">Angel Investors are typically “friends and family,” individuals who know the business owner and want the owner to succeed.  Angel Investors typically provide small amounts of equity with no expectation of a large return.  </w:t>
            </w:r>
          </w:p>
          <w:p w14:paraId="5EFB9095" w14:textId="77777777" w:rsidR="00223284" w:rsidRDefault="008F3649">
            <w:pPr>
              <w:spacing w:before="100" w:after="100"/>
              <w:contextualSpacing w:val="0"/>
              <w:rPr>
                <w:sz w:val="21"/>
                <w:szCs w:val="21"/>
              </w:rPr>
            </w:pPr>
            <w:r>
              <w:rPr>
                <w:sz w:val="21"/>
                <w:szCs w:val="21"/>
              </w:rPr>
              <w:t xml:space="preserve">Crowdfunding is an Internet phenomenon, where strangers learn about your business online and then decide whether or not to make an investment. Crowdfunding investors are typically “fans” of the owner, but they </w:t>
            </w:r>
            <w:r>
              <w:rPr>
                <w:i/>
                <w:sz w:val="21"/>
                <w:szCs w:val="21"/>
              </w:rPr>
              <w:t>do</w:t>
            </w:r>
            <w:r>
              <w:rPr>
                <w:sz w:val="21"/>
                <w:szCs w:val="21"/>
              </w:rPr>
              <w:t xml:space="preserve"> expect a return on investment.  (The company pays a percentage of the capital raised to the online Crowdfunding website.)</w:t>
            </w:r>
          </w:p>
        </w:tc>
        <w:tc>
          <w:tcPr>
            <w:tcW w:w="1320" w:type="dxa"/>
            <w:shd w:val="clear" w:color="auto" w:fill="E1CFFF"/>
            <w:vAlign w:val="center"/>
          </w:tcPr>
          <w:p w14:paraId="73E69A96" w14:textId="77777777" w:rsidR="00223284" w:rsidRDefault="008F3649">
            <w:pPr>
              <w:spacing w:before="100" w:after="100"/>
              <w:contextualSpacing w:val="0"/>
              <w:jc w:val="center"/>
              <w:rPr>
                <w:sz w:val="21"/>
                <w:szCs w:val="21"/>
              </w:rPr>
            </w:pPr>
            <w:r>
              <w:rPr>
                <w:sz w:val="21"/>
                <w:szCs w:val="21"/>
              </w:rPr>
              <w:t>Low Cost Equity</w:t>
            </w:r>
          </w:p>
        </w:tc>
      </w:tr>
    </w:tbl>
    <w:p w14:paraId="61E78ED3" w14:textId="77777777" w:rsidR="00223284" w:rsidRDefault="00223284">
      <w:pPr>
        <w:jc w:val="both"/>
      </w:pPr>
    </w:p>
    <w:p w14:paraId="0B5F1EFB" w14:textId="77777777" w:rsidR="00223284" w:rsidRDefault="008F3649">
      <w:pPr>
        <w:jc w:val="both"/>
      </w:pPr>
      <w:r>
        <w:t>To better understand the cost of different types of credit, please review the Credit Application Definitions and complete the Cost of Credit Worksheet.</w:t>
      </w:r>
    </w:p>
    <w:sectPr w:rsidR="00223284" w:rsidSect="00A66A11">
      <w:headerReference w:type="default" r:id="rId7"/>
      <w:footerReference w:type="default" r:id="rId8"/>
      <w:headerReference w:type="first" r:id="rId9"/>
      <w:footerReference w:type="first" r:id="rId10"/>
      <w:pgSz w:w="12240" w:h="15840"/>
      <w:pgMar w:top="1886" w:right="720" w:bottom="1080" w:left="720" w:header="0" w:footer="63"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508C1" w14:textId="77777777" w:rsidR="00FE48E6" w:rsidRDefault="00FE48E6">
      <w:r>
        <w:separator/>
      </w:r>
    </w:p>
  </w:endnote>
  <w:endnote w:type="continuationSeparator" w:id="0">
    <w:p w14:paraId="626B459A" w14:textId="77777777" w:rsidR="00FE48E6" w:rsidRDefault="00FE4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0B9EC" w14:textId="77777777" w:rsidR="00223284" w:rsidRPr="00E567CA" w:rsidRDefault="008F3649">
    <w:pPr>
      <w:tabs>
        <w:tab w:val="center" w:pos="5400"/>
        <w:tab w:val="right" w:pos="10530"/>
      </w:tabs>
      <w:spacing w:after="720"/>
      <w:ind w:right="90"/>
      <w:rPr>
        <w:sz w:val="20"/>
        <w:szCs w:val="20"/>
      </w:rPr>
    </w:pPr>
    <w:bookmarkStart w:id="1" w:name="_gjdgxs" w:colFirst="0" w:colLast="0"/>
    <w:bookmarkEnd w:id="1"/>
    <w:r>
      <w:rPr>
        <w:b/>
        <w:sz w:val="20"/>
        <w:szCs w:val="20"/>
      </w:rPr>
      <w:tab/>
    </w:r>
    <w:r w:rsidRPr="00E567CA">
      <w:rPr>
        <w:sz w:val="20"/>
        <w:szCs w:val="20"/>
      </w:rPr>
      <w:t>Regional Micro-Enterprise Credential</w:t>
    </w:r>
    <w:r w:rsidR="00E567CA" w:rsidRPr="00E567CA">
      <w:rPr>
        <w:sz w:val="20"/>
        <w:szCs w:val="20"/>
      </w:rPr>
      <w:t xml:space="preserve">:  Resource </w:t>
    </w:r>
    <w:r w:rsidRPr="00E567CA">
      <w:rPr>
        <w:sz w:val="20"/>
        <w:szCs w:val="20"/>
      </w:rPr>
      <w:t xml:space="preserve">06-03 – page </w:t>
    </w:r>
    <w:r w:rsidRPr="00E567CA">
      <w:rPr>
        <w:sz w:val="20"/>
        <w:szCs w:val="20"/>
      </w:rPr>
      <w:fldChar w:fldCharType="begin"/>
    </w:r>
    <w:r w:rsidRPr="00E567CA">
      <w:rPr>
        <w:sz w:val="20"/>
        <w:szCs w:val="20"/>
      </w:rPr>
      <w:instrText>PAGE</w:instrText>
    </w:r>
    <w:r w:rsidRPr="00E567CA">
      <w:rPr>
        <w:sz w:val="20"/>
        <w:szCs w:val="20"/>
      </w:rPr>
      <w:fldChar w:fldCharType="separate"/>
    </w:r>
    <w:r w:rsidR="004C5E03">
      <w:rPr>
        <w:noProof/>
        <w:sz w:val="20"/>
        <w:szCs w:val="20"/>
      </w:rPr>
      <w:t>1</w:t>
    </w:r>
    <w:r w:rsidRPr="00E567CA">
      <w:rPr>
        <w:sz w:val="20"/>
        <w:szCs w:val="20"/>
      </w:rPr>
      <w:fldChar w:fldCharType="end"/>
    </w:r>
    <w:r w:rsidRPr="00E567CA">
      <w:rPr>
        <w:sz w:val="20"/>
        <w:szCs w:val="20"/>
      </w:rPr>
      <w:t xml:space="preserve"> of </w:t>
    </w:r>
    <w:r w:rsidRPr="00E567CA">
      <w:rPr>
        <w:sz w:val="20"/>
        <w:szCs w:val="20"/>
      </w:rPr>
      <w:fldChar w:fldCharType="begin"/>
    </w:r>
    <w:r w:rsidRPr="00E567CA">
      <w:rPr>
        <w:sz w:val="20"/>
        <w:szCs w:val="20"/>
      </w:rPr>
      <w:instrText>NUMPAGES</w:instrText>
    </w:r>
    <w:r w:rsidRPr="00E567CA">
      <w:rPr>
        <w:sz w:val="20"/>
        <w:szCs w:val="20"/>
      </w:rPr>
      <w:fldChar w:fldCharType="separate"/>
    </w:r>
    <w:r w:rsidR="004C5E03">
      <w:rPr>
        <w:noProof/>
        <w:sz w:val="20"/>
        <w:szCs w:val="20"/>
      </w:rPr>
      <w:t>2</w:t>
    </w:r>
    <w:r w:rsidRPr="00E567CA">
      <w:rPr>
        <w:sz w:val="20"/>
        <w:szCs w:val="20"/>
      </w:rPr>
      <w:fldChar w:fldCharType="end"/>
    </w:r>
    <w:r w:rsidRPr="00E567CA">
      <w:rPr>
        <w:sz w:val="20"/>
        <w:szCs w:val="20"/>
      </w:rPr>
      <w:tab/>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D1B77" w14:textId="77777777" w:rsidR="00223284" w:rsidRDefault="008F3649">
    <w:pPr>
      <w:tabs>
        <w:tab w:val="center" w:pos="4680"/>
        <w:tab w:val="right" w:pos="9360"/>
      </w:tabs>
      <w:spacing w:after="720"/>
      <w:jc w:val="center"/>
      <w:rPr>
        <w:sz w:val="20"/>
        <w:szCs w:val="20"/>
      </w:rPr>
    </w:pPr>
    <w:r>
      <w:rPr>
        <w:sz w:val="20"/>
        <w:szCs w:val="20"/>
      </w:rPr>
      <w:t xml:space="preserve">Regional Jump Start Micro-Enterprise Credential 06-03:  Small Business Capital and Credit – page </w:t>
    </w:r>
    <w:r>
      <w:rPr>
        <w:sz w:val="20"/>
        <w:szCs w:val="20"/>
      </w:rPr>
      <w:fldChar w:fldCharType="begin"/>
    </w:r>
    <w:r>
      <w:rPr>
        <w:sz w:val="20"/>
        <w:szCs w:val="20"/>
      </w:rPr>
      <w:instrText>PAGE</w:instrText>
    </w:r>
    <w:r>
      <w:rPr>
        <w:sz w:val="20"/>
        <w:szCs w:val="20"/>
      </w:rPr>
      <w:fldChar w:fldCharType="separate"/>
    </w:r>
    <w:r w:rsidR="00E567CA">
      <w:rPr>
        <w:noProof/>
        <w:sz w:val="20"/>
        <w:szCs w:val="20"/>
      </w:rPr>
      <w:t>1</w:t>
    </w:r>
    <w:r>
      <w:rPr>
        <w:sz w:val="20"/>
        <w:szCs w:val="20"/>
      </w:rPr>
      <w:fldChar w:fldCharType="end"/>
    </w:r>
    <w:r>
      <w:rPr>
        <w:sz w:val="20"/>
        <w:szCs w:val="20"/>
      </w:rPr>
      <w:t xml:space="preserve"> of </w:t>
    </w:r>
    <w:r>
      <w:rPr>
        <w:sz w:val="20"/>
        <w:szCs w:val="20"/>
      </w:rPr>
      <w:fldChar w:fldCharType="begin"/>
    </w:r>
    <w:r>
      <w:rPr>
        <w:sz w:val="20"/>
        <w:szCs w:val="20"/>
      </w:rPr>
      <w:instrText>NUMPAGES</w:instrText>
    </w:r>
    <w:r>
      <w:rPr>
        <w:sz w:val="20"/>
        <w:szCs w:val="20"/>
      </w:rPr>
      <w:fldChar w:fldCharType="separate"/>
    </w:r>
    <w:r w:rsidR="004C5E03">
      <w:rPr>
        <w:noProof/>
        <w:sz w:val="20"/>
        <w:szCs w:val="20"/>
      </w:rPr>
      <w:t>2</w:t>
    </w:r>
    <w:r>
      <w:rPr>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41F29" w14:textId="77777777" w:rsidR="00FE48E6" w:rsidRDefault="00FE48E6">
      <w:r>
        <w:separator/>
      </w:r>
    </w:p>
  </w:footnote>
  <w:footnote w:type="continuationSeparator" w:id="0">
    <w:p w14:paraId="20B4EDE9" w14:textId="77777777" w:rsidR="00FE48E6" w:rsidRDefault="00FE48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A83A4" w14:textId="77777777" w:rsidR="00DF532E" w:rsidRDefault="00DF532E" w:rsidP="00DF532E">
    <w:pPr>
      <w:tabs>
        <w:tab w:val="center" w:pos="4680"/>
        <w:tab w:val="right" w:pos="9360"/>
      </w:tabs>
      <w:jc w:val="center"/>
      <w:rPr>
        <w:b/>
        <w:sz w:val="28"/>
        <w:szCs w:val="28"/>
      </w:rPr>
    </w:pPr>
  </w:p>
  <w:p w14:paraId="7068EA44" w14:textId="77777777" w:rsidR="00DF532E" w:rsidRDefault="00DF532E" w:rsidP="00DF532E">
    <w:pPr>
      <w:tabs>
        <w:tab w:val="center" w:pos="4680"/>
        <w:tab w:val="right" w:pos="9360"/>
      </w:tabs>
      <w:jc w:val="center"/>
      <w:rPr>
        <w:b/>
        <w:sz w:val="28"/>
        <w:szCs w:val="28"/>
      </w:rPr>
    </w:pPr>
  </w:p>
  <w:p w14:paraId="03F01BAF" w14:textId="77777777" w:rsidR="00223284" w:rsidRDefault="008F3649" w:rsidP="00DF532E">
    <w:pPr>
      <w:tabs>
        <w:tab w:val="center" w:pos="4680"/>
        <w:tab w:val="right" w:pos="9360"/>
      </w:tabs>
      <w:jc w:val="center"/>
      <w:rPr>
        <w:b/>
        <w:sz w:val="28"/>
        <w:szCs w:val="28"/>
      </w:rPr>
    </w:pPr>
    <w:r>
      <w:rPr>
        <w:b/>
        <w:sz w:val="28"/>
        <w:szCs w:val="28"/>
      </w:rPr>
      <w:t xml:space="preserve">Regional Micro-Enterprise Credential </w:t>
    </w:r>
    <w:r>
      <w:rPr>
        <w:noProof/>
      </w:rPr>
      <w:drawing>
        <wp:anchor distT="0" distB="0" distL="114300" distR="114300" simplePos="0" relativeHeight="251652096" behindDoc="0" locked="0" layoutInCell="0" hidden="0" allowOverlap="1" wp14:anchorId="27C3A3F7" wp14:editId="1775FEFE">
          <wp:simplePos x="0" y="0"/>
          <wp:positionH relativeFrom="margin">
            <wp:posOffset>-115569</wp:posOffset>
          </wp:positionH>
          <wp:positionV relativeFrom="paragraph">
            <wp:posOffset>-231265</wp:posOffset>
          </wp:positionV>
          <wp:extent cx="1722120" cy="887730"/>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722120" cy="887730"/>
                  </a:xfrm>
                  <a:prstGeom prst="rect">
                    <a:avLst/>
                  </a:prstGeom>
                  <a:ln/>
                </pic:spPr>
              </pic:pic>
            </a:graphicData>
          </a:graphic>
        </wp:anchor>
      </w:drawing>
    </w:r>
    <w:r>
      <w:rPr>
        <w:noProof/>
      </w:rPr>
      <mc:AlternateContent>
        <mc:Choice Requires="wps">
          <w:drawing>
            <wp:anchor distT="0" distB="0" distL="114300" distR="114300" simplePos="0" relativeHeight="251654144" behindDoc="0" locked="0" layoutInCell="0" hidden="0" allowOverlap="1" wp14:anchorId="24C41BF5" wp14:editId="12715D00">
              <wp:simplePos x="0" y="0"/>
              <wp:positionH relativeFrom="margin">
                <wp:posOffset>-101599</wp:posOffset>
              </wp:positionH>
              <wp:positionV relativeFrom="paragraph">
                <wp:posOffset>647700</wp:posOffset>
              </wp:positionV>
              <wp:extent cx="703580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1823973" y="3780000"/>
                        <a:ext cx="7044055" cy="0"/>
                      </a:xfrm>
                      <a:prstGeom prst="straightConnector1">
                        <a:avLst/>
                      </a:prstGeom>
                      <a:noFill/>
                      <a:ln w="9525" cap="flat" cmpd="sng">
                        <a:solidFill>
                          <a:schemeClr val="dk1"/>
                        </a:solidFill>
                        <a:prstDash val="solid"/>
                        <a:round/>
                        <a:headEnd type="none" w="med" len="med"/>
                        <a:tailEnd type="none" w="med" len="med"/>
                      </a:ln>
                    </wps:spPr>
                    <wps:bodyPr/>
                  </wps:wsp>
                </a:graphicData>
              </a:graphic>
            </wp:anchor>
          </w:drawing>
        </mc:Choice>
        <mc:Fallback>
          <w:pict>
            <v:shapetype w14:anchorId="180BB31C" id="_x0000_t32" coordsize="21600,21600" o:spt="32" o:oned="t" path="m,l21600,21600e" filled="f">
              <v:path arrowok="t" fillok="f" o:connecttype="none"/>
              <o:lock v:ext="edit" shapetype="t"/>
            </v:shapetype>
            <v:shape id="Straight Arrow Connector 6" o:spid="_x0000_s1026" type="#_x0000_t32" style="position:absolute;margin-left:-8pt;margin-top:51pt;width:554pt;height:1pt;z-index:25165414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xCq6QEAAMEDAAAOAAAAZHJzL2Uyb0RvYy54bWysU9tuGyEQfa/Uf0C817u240ssr6PKbvpS&#10;tZbSfgABdhcVGDQQr/33HbDj9PISRd0HdoC5nDlzWN8dnWUHjdGAb/h4VHOmvQRlfNfwH9/vPyw5&#10;i0l4JSx43fCTjvxu8/7deggrPYEerNLIKImPqyE0vE8prKoqyl47EUcQtKfLFtCJRFvsKoVioOzO&#10;VpO6nlcDoAoIUsdIp7vzJd+U/G2rZfrWtlEnZhtO2FJZsayPea02a7HqUITeyAsM8QYUThhPRa+p&#10;diIJ9oTmn1TOSIQIbRpJcBW0rZG69EDdjOu/unnoRdClFyInhitN8f+llV8Pe2RGNXzOmReORvSQ&#10;UJiuT+wjIgxsC94TjYBsntkaQlxR0Nbv8bKLYY+59WOLLv+pKXYkLSwn09vFlLNTw6eLZU3fmW19&#10;TEySw6K+ualnM84keZS76iVJwJg+a3AsGw2PF0xXMOPCtjh8iYlgUOBzQEbg4d5YW0ZrPRsafjub&#10;5DqCBNZakch0gVqOvitpIlijckgOLtLTW4vsIEg06uc4w6YKf3jlcjsR+7NTuTp3h/DkVSnda6E+&#10;ecXSKRCrnuTPMxanFWdW02vJVvFMwtjXeBII6wlLnsGZ9Ww9gjqVYZRz0klBe9F0FuLv+xL98vI2&#10;vwAAAP//AwBQSwMEFAAGAAgAAAAhAITo5EzeAAAADAEAAA8AAABkcnMvZG93bnJldi54bWxMj8FO&#10;wzAQRO9I/Qdrkbi1diOoIMSp2kKvoLYIiZsbL0lovA6x04a/Z3OC21vNaHYmWw6uEWfsQu1Jw3ym&#10;QCAV3tZUang7bKf3IEI0ZE3jCTX8YIBlPrnKTGr9hXZ43sdScAiF1GioYmxTKUNRoTNh5lsk1j59&#10;50zksyul7cyFw10jE6UW0pma+ENlWtxUWJz2vdPw/fz00m/rcPgq2neVDOsPej3daX1zPaweQUQc&#10;4p8ZxvpcHXLudPQ92SAaDdP5grdEFlTCMDrUw0jHkW4VyDyT/0fkvwAAAP//AwBQSwECLQAUAAYA&#10;CAAAACEAtoM4kv4AAADhAQAAEwAAAAAAAAAAAAAAAAAAAAAAW0NvbnRlbnRfVHlwZXNdLnhtbFBL&#10;AQItABQABgAIAAAAIQA4/SH/1gAAAJQBAAALAAAAAAAAAAAAAAAAAC8BAABfcmVscy8ucmVsc1BL&#10;AQItABQABgAIAAAAIQAe8xCq6QEAAMEDAAAOAAAAAAAAAAAAAAAAAC4CAABkcnMvZTJvRG9jLnht&#10;bFBLAQItABQABgAIAAAAIQCE6ORM3gAAAAwBAAAPAAAAAAAAAAAAAAAAAEMEAABkcnMvZG93bnJl&#10;di54bWxQSwUGAAAAAAQABADzAAAATgUAAAAA&#10;" o:allowincell="f" strokecolor="black [3200]">
              <w10:wrap anchorx="margin"/>
            </v:shape>
          </w:pict>
        </mc:Fallback>
      </mc:AlternateContent>
    </w:r>
    <w:r>
      <w:rPr>
        <w:noProof/>
      </w:rPr>
      <w:drawing>
        <wp:anchor distT="0" distB="0" distL="114300" distR="114300" simplePos="0" relativeHeight="251656192" behindDoc="0" locked="0" layoutInCell="0" hidden="0" allowOverlap="1" wp14:anchorId="2209780F" wp14:editId="604F8D9F">
          <wp:simplePos x="0" y="0"/>
          <wp:positionH relativeFrom="margin">
            <wp:posOffset>6179185</wp:posOffset>
          </wp:positionH>
          <wp:positionV relativeFrom="paragraph">
            <wp:posOffset>-115569</wp:posOffset>
          </wp:positionV>
          <wp:extent cx="661670" cy="657225"/>
          <wp:effectExtent l="0" t="0" r="0" b="0"/>
          <wp:wrapNone/>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661670" cy="657225"/>
                  </a:xfrm>
                  <a:prstGeom prst="rect">
                    <a:avLst/>
                  </a:prstGeom>
                  <a:ln/>
                </pic:spPr>
              </pic:pic>
            </a:graphicData>
          </a:graphic>
        </wp:anchor>
      </w:drawing>
    </w:r>
  </w:p>
  <w:p w14:paraId="2D62A81F" w14:textId="77777777" w:rsidR="00223284" w:rsidRDefault="008F3649">
    <w:pPr>
      <w:tabs>
        <w:tab w:val="center" w:pos="4680"/>
        <w:tab w:val="right" w:pos="9360"/>
      </w:tabs>
      <w:jc w:val="center"/>
      <w:rPr>
        <w:b/>
        <w:sz w:val="28"/>
        <w:szCs w:val="28"/>
      </w:rPr>
    </w:pPr>
    <w:r>
      <w:rPr>
        <w:b/>
        <w:sz w:val="28"/>
        <w:szCs w:val="28"/>
      </w:rPr>
      <w:t>Resource 06-03</w:t>
    </w:r>
  </w:p>
  <w:p w14:paraId="3CD872CC" w14:textId="77777777" w:rsidR="00223284" w:rsidRDefault="00223284">
    <w:pPr>
      <w:tabs>
        <w:tab w:val="center" w:pos="4680"/>
        <w:tab w:val="right" w:pos="9360"/>
      </w:tabs>
      <w:jc w:val="center"/>
      <w:rPr>
        <w:b/>
        <w:sz w:val="28"/>
        <w:szCs w:val="2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213ED" w14:textId="77777777" w:rsidR="00DF532E" w:rsidRDefault="00DF532E" w:rsidP="00DF532E">
    <w:pPr>
      <w:tabs>
        <w:tab w:val="center" w:pos="4680"/>
        <w:tab w:val="right" w:pos="9360"/>
      </w:tabs>
      <w:jc w:val="center"/>
      <w:rPr>
        <w:b/>
        <w:sz w:val="28"/>
        <w:szCs w:val="28"/>
      </w:rPr>
    </w:pPr>
  </w:p>
  <w:p w14:paraId="7E734C6D" w14:textId="77777777" w:rsidR="00DF532E" w:rsidRDefault="00DF532E" w:rsidP="00DF532E">
    <w:pPr>
      <w:tabs>
        <w:tab w:val="center" w:pos="4680"/>
        <w:tab w:val="right" w:pos="9360"/>
      </w:tabs>
      <w:jc w:val="center"/>
      <w:rPr>
        <w:b/>
        <w:sz w:val="28"/>
        <w:szCs w:val="28"/>
      </w:rPr>
    </w:pPr>
  </w:p>
  <w:p w14:paraId="2847EFEE" w14:textId="77777777" w:rsidR="00223284" w:rsidRDefault="008F3649" w:rsidP="00DF532E">
    <w:pPr>
      <w:tabs>
        <w:tab w:val="center" w:pos="4680"/>
        <w:tab w:val="right" w:pos="9360"/>
      </w:tabs>
      <w:jc w:val="center"/>
      <w:rPr>
        <w:b/>
        <w:sz w:val="28"/>
        <w:szCs w:val="28"/>
      </w:rPr>
    </w:pPr>
    <w:r>
      <w:rPr>
        <w:b/>
        <w:sz w:val="28"/>
        <w:szCs w:val="28"/>
      </w:rPr>
      <w:t>Regional Micro-Enterprise Credential</w:t>
    </w:r>
    <w:r>
      <w:rPr>
        <w:noProof/>
      </w:rPr>
      <w:drawing>
        <wp:anchor distT="0" distB="0" distL="114300" distR="114300" simplePos="0" relativeHeight="251658240" behindDoc="0" locked="0" layoutInCell="0" hidden="0" allowOverlap="1" wp14:anchorId="66F8F31D" wp14:editId="77937E04">
          <wp:simplePos x="0" y="0"/>
          <wp:positionH relativeFrom="margin">
            <wp:posOffset>-109219</wp:posOffset>
          </wp:positionH>
          <wp:positionV relativeFrom="paragraph">
            <wp:posOffset>-236219</wp:posOffset>
          </wp:positionV>
          <wp:extent cx="1722120" cy="887730"/>
          <wp:effectExtent l="0" t="0" r="0" b="0"/>
          <wp:wrapNone/>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1722120" cy="887730"/>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0" hidden="0" allowOverlap="1" wp14:anchorId="70566187" wp14:editId="3CE85E78">
              <wp:simplePos x="0" y="0"/>
              <wp:positionH relativeFrom="margin">
                <wp:posOffset>-101599</wp:posOffset>
              </wp:positionH>
              <wp:positionV relativeFrom="paragraph">
                <wp:posOffset>635000</wp:posOffset>
              </wp:positionV>
              <wp:extent cx="703580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1823866" y="3780000"/>
                        <a:ext cx="7044266" cy="0"/>
                      </a:xfrm>
                      <a:prstGeom prst="straightConnector1">
                        <a:avLst/>
                      </a:prstGeom>
                      <a:noFill/>
                      <a:ln w="9525" cap="flat" cmpd="sng">
                        <a:solidFill>
                          <a:schemeClr val="dk1"/>
                        </a:solidFill>
                        <a:prstDash val="solid"/>
                        <a:round/>
                        <a:headEnd type="none" w="med" len="med"/>
                        <a:tailEnd type="none" w="med" len="med"/>
                      </a:ln>
                    </wps:spPr>
                    <wps:bodyPr/>
                  </wps:wsp>
                </a:graphicData>
              </a:graphic>
            </wp:anchor>
          </w:drawing>
        </mc:Choice>
        <mc:Fallback>
          <w:pict>
            <v:shapetype w14:anchorId="36482EA9" id="_x0000_t32" coordsize="21600,21600" o:spt="32" o:oned="t" path="m,l21600,21600e" filled="f">
              <v:path arrowok="t" fillok="f" o:connecttype="none"/>
              <o:lock v:ext="edit" shapetype="t"/>
            </v:shapetype>
            <v:shape id="Straight Arrow Connector 5" o:spid="_x0000_s1026" type="#_x0000_t32" style="position:absolute;margin-left:-8pt;margin-top:50pt;width:554pt;height:1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5dP6AEAAMEDAAAOAAAAZHJzL2Uyb0RvYy54bWysU9tu2zAMfR+wfxD0vthxmzQz4hRDsu5l&#10;2AJ0+wBWkm1huoFS4+TvRylZusvLMMwPMiWRh+eQ1Pr+aA07KIzau47PZzVnygkvtRs6/vXLw5sV&#10;ZzGBk2C8Ux0/qcjvN69frafQqsaP3kiFjEBcbKfQ8TGl0FZVFKOyEGc+KEeXvUcLibY4VBJhInRr&#10;qqaul9XkUQb0QsVIp7vzJd8U/L5XIn3u+6gSMx0nbqmsWNanvFabNbQDQhi1uNCAf2BhQTtKeoXa&#10;QQL2jPoPKKsF+uj7NBPeVr7vtVBFA6mZ17+peRwhqKKFihPDtUzx/8GKT4c9Mi07vuDMgaUWPSYE&#10;PYyJvUP0E9t656iMHtkiV2sKsaWgrdvjZRfDHrP0Y482/0kUO9IsrJqb1XLJ2anjN3ermr5ztdUx&#10;MUEOd/XtbZMdBHmUu+oFJGBMH5S3LBsdjxdOVzLzUm04fIyJaFDgj4DMwPkHbUxprXFs6vjbRUPy&#10;BNCA9QYSmTaQ5OiGAhO90TKH5OAyemprkB2AhkZ+m2falOEXr5xuB3E8O5Wrszr0z06W1KMC+d5J&#10;lk6Bqupo/HnmYpXkzCh6Ldkqngm0+RtPImEccck9OFc9W09enkozyjnNSWF7mek8iD/vS/TLy9t8&#10;BwAA//8DAFBLAwQUAAYACAAAACEAA2LVVd0AAAAMAQAADwAAAGRycy9kb3ducmV2LnhtbEyPzW7C&#10;MBCE75V4B2uRegObSEUlxEH949qqgCr1ZuIlSYnXaexA+vbdnNrbt5rR7Ey2GVwjLtiF2pOGxVyB&#10;QCq8ranUcNhvZ/cgQjRkTeMJNfxggE0+uclMav2V3vGyi6XgEAqp0VDF2KZShqJCZ8Lct0isnXzn&#10;TOSzK6XtzJXDXSMTpZbSmZr4Q2VafKqwOO96p+H75fm139Zh/1W0HyoZHj/p7Xyn9e10eFiDiDjE&#10;PzOM9bk65Nzp6HuyQTQaZoslb4ksKMUwOtQqYTqOxCDzTP4fkf8CAAD//wMAUEsBAi0AFAAGAAgA&#10;AAAhALaDOJL+AAAA4QEAABMAAAAAAAAAAAAAAAAAAAAAAFtDb250ZW50X1R5cGVzXS54bWxQSwEC&#10;LQAUAAYACAAAACEAOP0h/9YAAACUAQAACwAAAAAAAAAAAAAAAAAvAQAAX3JlbHMvLnJlbHNQSwEC&#10;LQAUAAYACAAAACEAHEOXT+gBAADBAwAADgAAAAAAAAAAAAAAAAAuAgAAZHJzL2Uyb0RvYy54bWxQ&#10;SwECLQAUAAYACAAAACEAA2LVVd0AAAAMAQAADwAAAAAAAAAAAAAAAABCBAAAZHJzL2Rvd25yZXYu&#10;eG1sUEsFBgAAAAAEAAQA8wAAAEwFAAAAAA==&#10;" o:allowincell="f" strokecolor="black [3200]">
              <w10:wrap anchorx="margin"/>
            </v:shape>
          </w:pict>
        </mc:Fallback>
      </mc:AlternateContent>
    </w:r>
    <w:r>
      <w:rPr>
        <w:noProof/>
      </w:rPr>
      <w:drawing>
        <wp:anchor distT="0" distB="0" distL="114300" distR="114300" simplePos="0" relativeHeight="251663360" behindDoc="0" locked="0" layoutInCell="0" hidden="0" allowOverlap="1" wp14:anchorId="397D071F" wp14:editId="0C870ED3">
          <wp:simplePos x="0" y="0"/>
          <wp:positionH relativeFrom="margin">
            <wp:posOffset>6185535</wp:posOffset>
          </wp:positionH>
          <wp:positionV relativeFrom="paragraph">
            <wp:posOffset>-120649</wp:posOffset>
          </wp:positionV>
          <wp:extent cx="661670" cy="657225"/>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661670" cy="657225"/>
                  </a:xfrm>
                  <a:prstGeom prst="rect">
                    <a:avLst/>
                  </a:prstGeom>
                  <a:ln/>
                </pic:spPr>
              </pic:pic>
            </a:graphicData>
          </a:graphic>
        </wp:anchor>
      </w:drawing>
    </w:r>
  </w:p>
  <w:p w14:paraId="6ACC3A86" w14:textId="77777777" w:rsidR="00223284" w:rsidRDefault="008F3649">
    <w:pPr>
      <w:tabs>
        <w:tab w:val="center" w:pos="4680"/>
        <w:tab w:val="right" w:pos="9360"/>
      </w:tabs>
      <w:jc w:val="center"/>
      <w:rPr>
        <w:b/>
        <w:sz w:val="28"/>
        <w:szCs w:val="28"/>
      </w:rPr>
    </w:pPr>
    <w:r>
      <w:rPr>
        <w:b/>
        <w:sz w:val="28"/>
        <w:szCs w:val="28"/>
      </w:rPr>
      <w:t>Resource 06-03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DE1EFB"/>
    <w:multiLevelType w:val="multilevel"/>
    <w:tmpl w:val="83224C2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23284"/>
    <w:rsid w:val="00223284"/>
    <w:rsid w:val="004C5E03"/>
    <w:rsid w:val="008F3649"/>
    <w:rsid w:val="00A66A11"/>
    <w:rsid w:val="00DA198A"/>
    <w:rsid w:val="00DF532E"/>
    <w:rsid w:val="00E567CA"/>
    <w:rsid w:val="00F04195"/>
    <w:rsid w:val="00FE48E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070F8"/>
  <w15:docId w15:val="{DC039A9D-38A8-492A-812E-D27F717E3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DF532E"/>
    <w:pPr>
      <w:tabs>
        <w:tab w:val="center" w:pos="4680"/>
        <w:tab w:val="right" w:pos="9360"/>
      </w:tabs>
    </w:pPr>
  </w:style>
  <w:style w:type="character" w:customStyle="1" w:styleId="HeaderChar">
    <w:name w:val="Header Char"/>
    <w:basedOn w:val="DefaultParagraphFont"/>
    <w:link w:val="Header"/>
    <w:uiPriority w:val="99"/>
    <w:rsid w:val="00DF532E"/>
  </w:style>
  <w:style w:type="paragraph" w:styleId="Footer">
    <w:name w:val="footer"/>
    <w:basedOn w:val="Normal"/>
    <w:link w:val="FooterChar"/>
    <w:uiPriority w:val="99"/>
    <w:unhideWhenUsed/>
    <w:rsid w:val="00DF532E"/>
    <w:pPr>
      <w:tabs>
        <w:tab w:val="center" w:pos="4680"/>
        <w:tab w:val="right" w:pos="9360"/>
      </w:tabs>
    </w:pPr>
  </w:style>
  <w:style w:type="character" w:customStyle="1" w:styleId="FooterChar">
    <w:name w:val="Footer Char"/>
    <w:basedOn w:val="DefaultParagraphFont"/>
    <w:link w:val="Footer"/>
    <w:uiPriority w:val="99"/>
    <w:rsid w:val="00DF5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904</Words>
  <Characters>5156</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Lefkowith</cp:lastModifiedBy>
  <cp:revision>6</cp:revision>
  <cp:lastPrinted>2017-06-09T17:14:00Z</cp:lastPrinted>
  <dcterms:created xsi:type="dcterms:W3CDTF">2017-06-08T03:22:00Z</dcterms:created>
  <dcterms:modified xsi:type="dcterms:W3CDTF">2017-06-09T17:14:00Z</dcterms:modified>
</cp:coreProperties>
</file>