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odyText"/>
        <w:tabs>
          <w:tab w:val="left" w:pos="2271"/>
          <w:tab w:val="left" w:pos="3470"/>
        </w:tabs>
        <w:ind w:left="0"/>
        <w:rPr>
          <w:rFonts w:asciiTheme="minorHAnsi" w:hAnsiTheme="minorHAnsi" w:cstheme="minorHAnsi"/>
          <w:sz w:val="22"/>
          <w:szCs w:val="22"/>
        </w:rPr>
        <w:bidi/>
      </w:pPr>
      <w:bookmarkStart w:id="0" w:name="Date:_____________,_20_____"/>
      <w:bookmarkEnd w:id="0"/>
      <w:r>
        <w:rPr>
          <w:rFonts w:asciiTheme="minorHAnsi" w:hAnsiTheme="minorHAnsi" w:cstheme="minorHAnsi"/>
          <w:spacing w:val="-1"/>
          <w:sz w:val="22"/>
          <w:szCs w:val="22"/>
          <w:rtl/>
        </w:rPr>
        <w:t xml:space="preserve">التاريخ:_____________________، 20__</w:t>
      </w:r>
    </w:p>
    <w:p>
      <w:pPr>
        <w:pStyle w:val="BodyText"/>
        <w:tabs>
          <w:tab w:val="left" w:pos="2271"/>
          <w:tab w:val="left" w:pos="3470"/>
        </w:tabs>
        <w:ind w:left="0"/>
        <w:rPr>
          <w:rFonts w:asciiTheme="minorHAnsi" w:hAnsiTheme="minorHAnsi" w:cstheme="minorHAnsi"/>
          <w:sz w:val="22"/>
          <w:szCs w:val="22"/>
        </w:rPr>
        <w:bidi/>
      </w:pPr>
      <w:r>
        <w:rPr>
          <w:rFonts w:asciiTheme="minorHAnsi" w:hAnsiTheme="minorHAnsi" w:cstheme="minorHAnsi"/>
          <w:sz w:val="22"/>
          <w:szCs w:val="22"/>
          <w:rtl/>
        </w:rPr>
        <w:t xml:space="preserve">المدرسة: ____________</w:t>
      </w:r>
    </w:p>
    <w:p>
      <w:pPr>
        <w:pStyle w:val="BodyText"/>
        <w:tabs>
          <w:tab w:val="left" w:pos="4285"/>
        </w:tabs>
        <w:ind w:left="0"/>
        <w:jc w:val="both"/>
        <w:rPr>
          <w:rFonts w:asciiTheme="minorHAnsi" w:hAnsiTheme="minorHAnsi" w:cstheme="minorHAnsi"/>
          <w:sz w:val="22"/>
          <w:szCs w:val="22"/>
        </w:rPr>
        <w:bidi/>
      </w:pPr>
    </w:p>
    <w:p>
      <w:pPr>
        <w:pStyle w:val="BodyText"/>
        <w:tabs>
          <w:tab w:val="left" w:pos="4285"/>
        </w:tabs>
        <w:ind w:left="0"/>
        <w:jc w:val="both"/>
        <w:rPr>
          <w:rFonts w:asciiTheme="minorHAnsi" w:hAnsiTheme="minorHAnsi" w:cstheme="minorHAnsi"/>
          <w:sz w:val="22"/>
          <w:szCs w:val="22"/>
        </w:rPr>
        <w:bidi/>
      </w:pPr>
      <w:r>
        <w:rPr>
          <w:rFonts w:asciiTheme="minorHAnsi" w:hAnsiTheme="minorHAnsi" w:cstheme="minorHAnsi"/>
          <w:spacing w:val="-1"/>
          <w:sz w:val="22"/>
          <w:szCs w:val="22"/>
          <w:rtl/>
        </w:rPr>
        <w:t xml:space="preserve">السادة الآباء أو الأوصياء على الطالب(ة)_________________،</w:t>
      </w:r>
    </w:p>
    <w:p>
      <w:pPr>
        <w:rPr>
          <w:rFonts w:eastAsia="Arial" w:cstheme="minorHAnsi"/>
        </w:rPr>
        <w:bidi/>
      </w:pPr>
    </w:p>
    <w:p>
      <w:pPr>
        <w:bidi/>
      </w:pPr>
      <w:r>
        <w:rPr>
          <w:rtl/>
        </w:rPr>
        <w:t xml:space="preserve">نحن ملتزمون بتقديم وسائل الدعم التعليمية والإثرائية التي يحتاجها متعلمي اللغة الإنجليزية ليحققوا النجاح في صفوفهم. ستساعد وسائل الدعم المقدمة طفلك على إجادة المعايير الملائمة للمرحلة واستيفاء متطلبات التخرج من خلال ما يلي:</w:t>
      </w:r>
    </w:p>
    <w:p>
      <w:pPr>
        <w:bidi/>
      </w:pPr>
    </w:p>
    <w:p>
      <w:pPr>
        <w:pStyle w:val="ListParagraph"/>
        <w:numPr>
          <w:ilvl w:val="0"/>
          <w:numId w:val="3"/>
        </w:numPr>
        <w:bidi/>
      </w:pPr>
      <w:r>
        <w:rPr>
          <w:rtl/>
        </w:rPr>
        <w:t xml:space="preserve">وضع طفلك في مرحلة مناسبة لعمره.</w:t>
      </w:r>
    </w:p>
    <w:p>
      <w:pPr>
        <w:pStyle w:val="ListParagraph"/>
        <w:numPr>
          <w:ilvl w:val="0"/>
          <w:numId w:val="3"/>
        </w:numPr>
        <w:bidi/>
      </w:pPr>
      <w:r>
        <w:rPr>
          <w:rtl/>
        </w:rPr>
        <w:t xml:space="preserve">التركيز على اللغة الأكاديمية.</w:t>
      </w:r>
    </w:p>
    <w:p>
      <w:pPr>
        <w:pStyle w:val="ListParagraph"/>
        <w:numPr>
          <w:ilvl w:val="0"/>
          <w:numId w:val="3"/>
        </w:numPr>
        <w:bidi/>
      </w:pPr>
      <w:r>
        <w:rPr>
          <w:rtl/>
        </w:rPr>
        <w:t xml:space="preserve">تعليم اللغة والمهارات والمعرفة اللازمة للمشاركة في التعليم على مستوى الصف.</w:t>
      </w:r>
    </w:p>
    <w:p>
      <w:pPr>
        <w:pStyle w:val="ListParagraph"/>
        <w:numPr>
          <w:ilvl w:val="0"/>
          <w:numId w:val="3"/>
        </w:numPr>
        <w:bidi/>
      </w:pPr>
      <w:r>
        <w:rPr>
          <w:rtl/>
        </w:rPr>
        <w:t xml:space="preserve">منح طفلك إمكانية الوصول إلى المحتوى وعمليات تقييم المحتوى بالدعم المناسب له.</w:t>
      </w:r>
    </w:p>
    <w:p>
      <w:pPr>
        <w:pStyle w:val="NoSpacing"/>
        <w:rPr>
          <w:rFonts w:cstheme="minorHAnsi"/>
        </w:rPr>
        <w:bidi/>
      </w:pPr>
    </w:p>
    <w:p>
      <w:pPr>
        <w:pStyle w:val="NoSpacing"/>
        <w:jc w:val="both"/>
        <w:rPr>
          <w:rFonts w:cstheme="minorHAnsi"/>
        </w:rPr>
        <w:bidi/>
      </w:pPr>
      <w:r>
        <w:rPr>
          <w:rFonts w:cstheme="minorHAnsi"/>
          <w:b/>
          <w:rtl/>
        </w:rPr>
        <w:t xml:space="preserve">النتائج الواردة من اختبار إتقان اللغة الإنجليزية (ELPT) أو تحديد مستوى إتقان اللغة الإنجليزية (ELPS) تشير إلى أن طفلك______________________، في المستوى _________ من حيث إتقان اللغة الإنجليزية وعليه أن يكتسب المزيد من المهارات اللغوية من وسائل دعم و/أو تعليم اللغة الإنجليزية الإضافية.</w:t>
      </w:r>
    </w:p>
    <w:p>
      <w:pPr>
        <w:pStyle w:val="NoSpacing"/>
        <w:rPr>
          <w:rFonts w:cstheme="minorHAnsi"/>
        </w:rPr>
        <w:bidi/>
      </w:pPr>
    </w:p>
    <w:tbl>
      <w:tblPr>
        <w:tblW w:w="10070" w:type="dxa"/>
        <w:tblCellMar>
          <w:top w:w="15" w:type="dxa"/>
          <w:left w:w="15" w:type="dxa"/>
          <w:bottom w:w="15" w:type="dxa"/>
          <w:right w:w="15" w:type="dxa"/>
        </w:tblCellMar>
        <w:tblLook w:val="04A0" w:firstRow="1" w:lastRow="0" w:firstColumn="1" w:lastColumn="0" w:noHBand="0" w:noVBand="1"/>
        <w:bidiVisual/>
      </w:tblPr>
      <w:tblGrid>
        <w:gridCol w:w="1562"/>
        <w:gridCol w:w="8508"/>
      </w:tblGrid>
      <w:tr>
        <w:tc>
          <w:tcPr>
            <w:tcW w:w="15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pPr>
              <w:rPr>
                <w:rFonts w:ascii="Times New Roman" w:eastAsia="Times New Roman" w:hAnsi="Times New Roman" w:cs="Times New Roman"/>
                <w:sz w:val="24"/>
                <w:szCs w:val="24"/>
              </w:rPr>
              <w:bidi/>
            </w:pPr>
            <w:r>
              <w:rPr>
                <w:rFonts w:ascii="Calibri" w:hAnsi="Calibri" w:cs="Times New Roman" w:eastAsia="Times New Roman"/>
                <w:b/>
                <w:bCs/>
                <w:color w:val="000000"/>
                <w:rtl/>
              </w:rPr>
              <w:t xml:space="preserve">تحديد الإتقان</w:t>
            </w:r>
          </w:p>
        </w:tc>
        <w:tc>
          <w:tcPr>
            <w:tcW w:w="8508" w:type="dxa"/>
            <w:tcBorders>
              <w:top w:val="single" w:sz="8" w:space="0" w:color="000000"/>
              <w:left w:val="single" w:sz="8" w:space="0" w:color="000000"/>
              <w:bottom w:val="single" w:sz="8" w:space="0" w:color="000000"/>
              <w:right w:val="single" w:sz="8" w:space="0" w:color="000000"/>
            </w:tcBorders>
            <w:shd w:val="clear" w:color="auto" w:fill="D9D9D9"/>
          </w:tcPr>
          <w:p>
            <w:pPr>
              <w:ind w:left="72"/>
              <w:rPr>
                <w:rFonts w:ascii="Calibri" w:eastAsia="Times New Roman" w:hAnsi="Calibri" w:cs="Times New Roman"/>
                <w:b/>
                <w:bCs/>
                <w:color w:val="000000"/>
              </w:rPr>
              <w:bidi/>
            </w:pPr>
            <w:r>
              <w:rPr>
                <w:rFonts w:ascii="Calibri" w:hAnsi="Calibri" w:cs="Times New Roman" w:eastAsia="Times New Roman"/>
                <w:b/>
                <w:bCs/>
                <w:color w:val="000000"/>
                <w:rtl/>
              </w:rPr>
              <w:t>التعريف</w:t>
            </w:r>
          </w:p>
        </w:tc>
      </w:tr>
      <w:tr>
        <w:tc>
          <w:tcPr>
            <w:tcW w:w="15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pPr>
              <w:rPr>
                <w:rFonts w:ascii="Times New Roman" w:eastAsia="Times New Roman" w:hAnsi="Times New Roman" w:cs="Times New Roman"/>
                <w:sz w:val="24"/>
                <w:szCs w:val="24"/>
              </w:rPr>
              <w:bidi/>
            </w:pPr>
            <w:r>
              <w:rPr>
                <w:rFonts w:ascii="Calibri" w:hAnsi="Calibri" w:cs="Times New Roman" w:eastAsia="Times New Roman"/>
                <w:b/>
                <w:bCs/>
                <w:color w:val="000000"/>
                <w:rtl/>
              </w:rPr>
              <w:t xml:space="preserve">مرحلة المستجد</w:t>
            </w:r>
          </w:p>
        </w:tc>
        <w:tc>
          <w:tcPr>
            <w:tcW w:w="8508" w:type="dxa"/>
            <w:tcBorders>
              <w:top w:val="single" w:sz="8" w:space="0" w:color="000000"/>
              <w:left w:val="single" w:sz="8" w:space="0" w:color="000000"/>
              <w:bottom w:val="single" w:sz="8" w:space="0" w:color="000000"/>
              <w:right w:val="single" w:sz="8" w:space="0" w:color="000000"/>
            </w:tcBorders>
          </w:tcPr>
          <w:p>
            <w:pPr>
              <w:ind w:left="72"/>
              <w:bidi/>
            </w:pPr>
            <w:r>
              <w:rPr>
                <w:rtl/>
              </w:rPr>
              <w:t xml:space="preserve">يعتبر الطلاب في مرحلة المستجد عند عدم وصولهم بعد إلى مستوى المهارة اللغوية الكافية للغة الإنجليزية، والذي يمكنهم من ابتكار المهام الأكاديمية المطلوبة باللغة الإنجليزية المتعلقة بمحتوى الصف الدراسي وتفسيرها والمشاركة فيها. يحق للطلاب الحاصلين على درجات تضعهم ضمن مرحلة المستجد، الالتحاق ببرامج الدعم المستمر.</w:t>
            </w:r>
          </w:p>
        </w:tc>
      </w:tr>
      <w:tr>
        <w:tc>
          <w:tcPr>
            <w:tcW w:w="15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pPr>
              <w:rPr>
                <w:rFonts w:ascii="Times New Roman" w:eastAsia="Times New Roman" w:hAnsi="Times New Roman" w:cs="Times New Roman"/>
                <w:sz w:val="24"/>
                <w:szCs w:val="24"/>
              </w:rPr>
              <w:bidi/>
            </w:pPr>
            <w:r>
              <w:rPr>
                <w:rFonts w:ascii="Calibri" w:hAnsi="Calibri" w:cs="Times New Roman" w:eastAsia="Times New Roman"/>
                <w:b/>
                <w:bCs/>
                <w:color w:val="000000"/>
                <w:rtl/>
              </w:rPr>
              <w:t xml:space="preserve">مرحلة التحسن</w:t>
            </w:r>
          </w:p>
        </w:tc>
        <w:tc>
          <w:tcPr>
            <w:tcW w:w="8508" w:type="dxa"/>
            <w:tcBorders>
              <w:top w:val="single" w:sz="8" w:space="0" w:color="000000"/>
              <w:left w:val="single" w:sz="8" w:space="0" w:color="000000"/>
              <w:bottom w:val="single" w:sz="8" w:space="0" w:color="000000"/>
              <w:right w:val="single" w:sz="8" w:space="0" w:color="000000"/>
            </w:tcBorders>
          </w:tcPr>
          <w:p>
            <w:pPr>
              <w:ind w:left="72"/>
              <w:bidi/>
            </w:pPr>
            <w:r>
              <w:rPr>
                <w:rtl/>
              </w:rPr>
              <w:t xml:space="preserve">يعتبر الطلاب في مرحلة التحسن، مع تلقيهم الدعم، عند اقترابهم من مستوى المهارة اللغوية الكافية للغة الإنجليزية، والذي يمكنهم من ابتكار المهام الأكاديمية المطلوبة باللغة الإنجليزية المتعلقة بمحتوى الصف الدراسي وتفسيرها والمشاركة فيها. يحق للطلاب الحاصلين على درجات تضعهم ضمن مرحلة التحسن، الالتحاق ببرامج الدعم المستمر.</w:t>
            </w:r>
          </w:p>
        </w:tc>
      </w:tr>
      <w:tr>
        <w:tc>
          <w:tcPr>
            <w:tcW w:w="15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pPr>
              <w:rPr>
                <w:rFonts w:ascii="Times New Roman" w:eastAsia="Times New Roman" w:hAnsi="Times New Roman" w:cs="Times New Roman"/>
                <w:sz w:val="24"/>
                <w:szCs w:val="24"/>
              </w:rPr>
              <w:bidi/>
            </w:pPr>
            <w:r>
              <w:rPr>
                <w:rFonts w:ascii="Calibri" w:hAnsi="Calibri" w:cs="Times New Roman" w:eastAsia="Times New Roman"/>
                <w:b/>
                <w:bCs/>
                <w:color w:val="000000"/>
                <w:rtl/>
              </w:rPr>
              <w:t xml:space="preserve">مرحلة الإتقان</w:t>
            </w:r>
          </w:p>
        </w:tc>
        <w:tc>
          <w:tcPr>
            <w:tcW w:w="8508" w:type="dxa"/>
            <w:tcBorders>
              <w:top w:val="single" w:sz="8" w:space="0" w:color="000000"/>
              <w:left w:val="single" w:sz="8" w:space="0" w:color="000000"/>
              <w:bottom w:val="single" w:sz="8" w:space="0" w:color="000000"/>
              <w:right w:val="single" w:sz="8" w:space="0" w:color="000000"/>
            </w:tcBorders>
          </w:tcPr>
          <w:p>
            <w:pPr>
              <w:ind w:left="72"/>
              <w:bidi/>
            </w:pPr>
            <w:r>
              <w:rPr>
                <w:rtl/>
              </w:rPr>
              <w:t xml:space="preserve">يعتبر الطلاب في مرحلة الإتقان عند وصولهم إلى مستوى المهارة اللغوية الكافية للغة الإنجليزية، والذي يمكنهم من ابتكار المهام الأكاديمية المطلوبة باللغة الإنجليزية المتعلقة بمحتوى الصف الدراسي وتفسيرها والمشاركة فيها واجتيازها بنجاح. يمكن إعادة تصنيف الطلاب عند تحقيقهم مرحلة الإتقان في اختبار إتقان اللغة الإنجليزية (ELPT).</w:t>
            </w:r>
          </w:p>
        </w:tc>
      </w:tr>
    </w:tbl>
    <w:p>
      <w:pPr>
        <w:pStyle w:val="NoSpacing"/>
        <w:rPr>
          <w:rFonts w:cstheme="minorHAnsi"/>
        </w:rPr>
        <w:bidi/>
      </w:pPr>
    </w:p>
    <w:p>
      <w:pPr>
        <w:bidi/>
      </w:pPr>
      <w:r>
        <w:rPr>
          <w:rtl/>
        </w:rPr>
        <w:t xml:space="preserve">إذا صُنف طفلك من ذوي الاحتياجات الخاصة، فسيلبي برنامج متعلمي اللغة الإنجليزية الأهداف اللغوية الخاصة ببرنامج التعليم الفردي للطفل.</w:t>
      </w:r>
    </w:p>
    <w:p>
      <w:pPr>
        <w:bidi/>
      </w:pPr>
    </w:p>
    <w:p>
      <w:pPr>
        <w:bidi/>
      </w:pPr>
      <w:bookmarkStart w:id="2" w:name="1._For_grades_K-2:"/>
      <w:bookmarkEnd w:id="2"/>
      <w:r>
        <w:rPr>
          <w:rtl/>
        </w:rPr>
        <w:t xml:space="preserve">سيشارك الطالب في اختبار إتقان اللغة الإنجليزية (ELPT) السنوي حتى يفي بمتطلبات التخرج. للتخرج من برنامج متعلمي اللغة الإنجليزية (EL)، سيتعين على طفلك تحقيق مرحلة الإتقان في اختبار إتقان اللغة الانجليزية (ELPT).</w:t>
      </w:r>
    </w:p>
    <w:p>
      <w:pPr>
        <w:bidi/>
      </w:pPr>
    </w:p>
    <w:p>
      <w:pPr>
        <w:bidi/>
      </w:pPr>
      <w:r>
        <w:rPr>
          <w:rtl/>
        </w:rPr>
        <w:t xml:space="preserve">يحق لك رفض تسجيل طفلك في برنامج متعلمي اللغة الإنجليزية. ومع ذلك، سيواصل طفلك تلقي خدمات دعم اللغة في صفوف المحتوى الخاصة به. إذا كنت لا ترغب بذلك يُرجى إخطار المدرسة. رفض الخدمات لن يعفي طفلك من الخضوع لاختبار إتقان اللغة الإنجليزية (ELPT). سيُحدد الطفل كمتعلم للغة الانجليزية (EL) وعليه أن يخضع لاختبار إتقان اللغة الإنجليزية (ELPT) حتى يلبي متطلبات التخرج المطلوبة.</w:t>
      </w:r>
    </w:p>
    <w:p>
      <w:pPr>
        <w:rPr>
          <w:rFonts w:eastAsia="Arial" w:cstheme="minorHAnsi"/>
        </w:rPr>
        <w:bidi/>
      </w:pPr>
      <w:bookmarkStart w:id="3" w:name="a._two_years_at_composite_level_V_on_the"/>
      <w:bookmarkEnd w:id="3"/>
    </w:p>
    <w:p>
      <w:pPr>
        <w:spacing w:line="480" w:lineRule="auto"/>
        <w:ind w:right="6002"/>
        <w:rPr>
          <w:rFonts w:eastAsia="Arial" w:cstheme="minorHAnsi"/>
        </w:rPr>
        <w:bidi/>
      </w:pPr>
      <w:r>
        <w:rPr>
          <w:rFonts w:cstheme="minorHAnsi"/>
          <w:spacing w:val="-2"/>
          <w:rtl/>
        </w:rPr>
        <w:t xml:space="preserve">تفضلوا بقبول فائق الاحترام والتقدير،</w:t>
      </w:r>
    </w:p>
    <w:p>
      <w:pPr>
        <w:tabs>
          <w:tab w:val="left" w:pos="2715"/>
        </w:tabs>
        <w:spacing w:before="2"/>
        <w:rPr>
          <w:rFonts w:eastAsia="Arial" w:cstheme="minorHAnsi"/>
        </w:rPr>
        <w:bidi/>
      </w:pPr>
    </w:p>
    <w:p>
      <w:pPr>
        <w:spacing w:line="20" w:lineRule="atLeast"/>
        <w:rPr>
          <w:rFonts w:eastAsia="Arial" w:cstheme="minorHAnsi"/>
        </w:rPr>
        <w:bidi/>
      </w:pPr>
      <w:r>
        <w:rPr>
          <w:rFonts w:cstheme="minorHAnsi" w:eastAsia="Arial"/>
        </w:rPr>
        <mc:AlternateContent>
          <mc:Choice Requires="wpg">
            <w:drawing>
              <wp:inline distT="0" distB="0" distL="0" distR="0">
                <wp:extent cx="1950720" cy="8890"/>
                <wp:effectExtent l="5080" t="6985" r="6350" b="3175"/>
                <wp:docPr id="1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8890"/>
                          <a:chOff x="0" y="0"/>
                          <a:chExt cx="3072" cy="14"/>
                        </a:xfrm>
                      </wpg:grpSpPr>
                      <wpg:grpSp>
                        <wpg:cNvPr id="11" name="Group 29"/>
                        <wpg:cNvGrpSpPr>
                          <a:grpSpLocks/>
                        </wpg:cNvGrpSpPr>
                        <wpg:grpSpPr bwMode="auto">
                          <a:xfrm>
                            <a:off x="7" y="7"/>
                            <a:ext cx="3059" cy="2"/>
                            <a:chOff x="7" y="7"/>
                            <a:chExt cx="3059" cy="2"/>
                          </a:xfrm>
                        </wpg:grpSpPr>
                        <wps:wsp>
                          <wps:cNvPr id="12" name="Freeform 30"/>
                          <wps:cNvSpPr>
                            <a:spLocks/>
                          </wps:cNvSpPr>
                          <wps:spPr bwMode="auto">
                            <a:xfrm>
                              <a:off x="7" y="7"/>
                              <a:ext cx="3059" cy="2"/>
                            </a:xfrm>
                            <a:custGeom>
                              <a:avLst/>
                              <a:gdLst>
                                <a:gd name="T0" fmla="+- 0 7 7"/>
                                <a:gd name="T1" fmla="*/ T0 w 3059"/>
                                <a:gd name="T2" fmla="+- 0 3065 7"/>
                                <a:gd name="T3" fmla="*/ T2 w 3059"/>
                              </a:gdLst>
                              <a:ahLst/>
                              <a:cxnLst>
                                <a:cxn ang="0">
                                  <a:pos x="T1" y="0"/>
                                </a:cxn>
                                <a:cxn ang="0">
                                  <a:pos x="T3" y="0"/>
                                </a:cxn>
                              </a:cxnLst>
                              <a:rect l="0" t="0" r="r" b="b"/>
                              <a:pathLst>
                                <a:path w="3059">
                                  <a:moveTo>
                                    <a:pt x="0" y="0"/>
                                  </a:moveTo>
                                  <a:lnTo>
                                    <a:pt x="305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AlternateContent>
      </w:r>
    </w:p>
    <w:p>
      <w:pPr>
        <w:spacing w:line="240" w:lineRule="exact"/>
        <w:rPr>
          <w:rFonts w:eastAsia="Arial" w:cstheme="minorHAnsi"/>
        </w:rPr>
        <w:bidi/>
      </w:pPr>
      <w:r>
        <w:rPr>
          <w:rFonts w:cstheme="minorHAnsi"/>
          <w:spacing w:val="-1"/>
          <w:rtl/>
        </w:rPr>
        <w:t xml:space="preserve">مختص برنامج متعلمي اللغة الإنجليزية (EL)</w:t>
      </w:r>
    </w:p>
    <w:sectPr>
      <w:type w:val="continuous"/>
      <w:pgSz w:w="12240" w:h="15840"/>
      <w:pgMar w:top="1080" w:right="1080" w:bottom="1080" w:left="1080" w:header="720" w:footer="116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bidi/>
      </w:pPr>
      <w:r>
        <w:separator/>
      </w:r>
    </w:p>
  </w:endnote>
  <w:endnote w:type="continuationSeparator" w:id="0">
    <w:p>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bidi/>
      </w:pPr>
      <w:r>
        <w:separator/>
      </w:r>
    </w:p>
  </w:footnote>
  <w:footnote w:type="continuationSeparator" w:id="0">
    <w:p>
      <w:pPr>
        <w:bidi/>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340C"/>
    <w:multiLevelType w:val="hybridMultilevel"/>
    <w:tmpl w:val="E128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43331"/>
    <w:multiLevelType w:val="hybridMultilevel"/>
    <w:tmpl w:val="58845AE6"/>
    <w:lvl w:ilvl="0" w:tplc="9754F17A">
      <w:start w:val="1"/>
      <w:numFmt w:val="decimal"/>
      <w:lvlText w:val="%1."/>
      <w:lvlJc w:val="left"/>
      <w:pPr>
        <w:ind w:left="879" w:hanging="360"/>
        <w:jc w:val="left"/>
      </w:pPr>
      <w:rPr>
        <w:rFonts w:ascii="Arial" w:eastAsia="Arial" w:hAnsi="Arial" w:hint="default"/>
        <w:spacing w:val="-1"/>
        <w:sz w:val="22"/>
        <w:szCs w:val="22"/>
      </w:rPr>
    </w:lvl>
    <w:lvl w:ilvl="1" w:tplc="9BEC46C2">
      <w:start w:val="1"/>
      <w:numFmt w:val="lowerLetter"/>
      <w:lvlText w:val="%2."/>
      <w:lvlJc w:val="left"/>
      <w:pPr>
        <w:ind w:left="1066" w:hanging="360"/>
        <w:jc w:val="left"/>
      </w:pPr>
      <w:rPr>
        <w:rFonts w:ascii="Arial" w:eastAsia="Arial" w:hAnsi="Arial" w:hint="default"/>
        <w:spacing w:val="-1"/>
        <w:sz w:val="22"/>
        <w:szCs w:val="22"/>
      </w:rPr>
    </w:lvl>
    <w:lvl w:ilvl="2" w:tplc="DB7E0AC8">
      <w:start w:val="1"/>
      <w:numFmt w:val="bullet"/>
      <w:lvlText w:val="•"/>
      <w:lvlJc w:val="left"/>
      <w:pPr>
        <w:ind w:left="1066" w:hanging="360"/>
      </w:pPr>
      <w:rPr>
        <w:rFonts w:hint="default"/>
      </w:rPr>
    </w:lvl>
    <w:lvl w:ilvl="3" w:tplc="0396D64A">
      <w:start w:val="1"/>
      <w:numFmt w:val="bullet"/>
      <w:lvlText w:val="•"/>
      <w:lvlJc w:val="left"/>
      <w:pPr>
        <w:ind w:left="1066" w:hanging="360"/>
      </w:pPr>
      <w:rPr>
        <w:rFonts w:hint="default"/>
      </w:rPr>
    </w:lvl>
    <w:lvl w:ilvl="4" w:tplc="678E26B0">
      <w:start w:val="1"/>
      <w:numFmt w:val="bullet"/>
      <w:lvlText w:val="•"/>
      <w:lvlJc w:val="left"/>
      <w:pPr>
        <w:ind w:left="2194" w:hanging="360"/>
      </w:pPr>
      <w:rPr>
        <w:rFonts w:hint="default"/>
      </w:rPr>
    </w:lvl>
    <w:lvl w:ilvl="5" w:tplc="AFF03F60">
      <w:start w:val="1"/>
      <w:numFmt w:val="bullet"/>
      <w:lvlText w:val="•"/>
      <w:lvlJc w:val="left"/>
      <w:pPr>
        <w:ind w:left="3322" w:hanging="360"/>
      </w:pPr>
      <w:rPr>
        <w:rFonts w:hint="default"/>
      </w:rPr>
    </w:lvl>
    <w:lvl w:ilvl="6" w:tplc="A8D0A9FA">
      <w:start w:val="1"/>
      <w:numFmt w:val="bullet"/>
      <w:lvlText w:val="•"/>
      <w:lvlJc w:val="left"/>
      <w:pPr>
        <w:ind w:left="4449" w:hanging="360"/>
      </w:pPr>
      <w:rPr>
        <w:rFonts w:hint="default"/>
      </w:rPr>
    </w:lvl>
    <w:lvl w:ilvl="7" w:tplc="75F47EE8">
      <w:start w:val="1"/>
      <w:numFmt w:val="bullet"/>
      <w:lvlText w:val="•"/>
      <w:lvlJc w:val="left"/>
      <w:pPr>
        <w:ind w:left="5577" w:hanging="360"/>
      </w:pPr>
      <w:rPr>
        <w:rFonts w:hint="default"/>
      </w:rPr>
    </w:lvl>
    <w:lvl w:ilvl="8" w:tplc="14FC870A">
      <w:start w:val="1"/>
      <w:numFmt w:val="bullet"/>
      <w:lvlText w:val="•"/>
      <w:lvlJc w:val="left"/>
      <w:pPr>
        <w:ind w:left="6704" w:hanging="360"/>
      </w:pPr>
      <w:rPr>
        <w:rFonts w:hint="default"/>
      </w:rPr>
    </w:lvl>
  </w:abstractNum>
  <w:abstractNum w:abstractNumId="2" w15:restartNumberingAfterBreak="0">
    <w:nsid w:val="7A2F2972"/>
    <w:multiLevelType w:val="hybridMultilevel"/>
    <w:tmpl w:val="45FA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D7"/>
    <w:rsid w:val="000112B3"/>
    <w:rsid w:val="00026527"/>
    <w:rsid w:val="00030E8F"/>
    <w:rsid w:val="0003332F"/>
    <w:rsid w:val="00080407"/>
    <w:rsid w:val="000D2A71"/>
    <w:rsid w:val="00110B4C"/>
    <w:rsid w:val="00154AB2"/>
    <w:rsid w:val="001737CE"/>
    <w:rsid w:val="00267EB5"/>
    <w:rsid w:val="002D5733"/>
    <w:rsid w:val="002F71E8"/>
    <w:rsid w:val="00377530"/>
    <w:rsid w:val="003E611E"/>
    <w:rsid w:val="004D624E"/>
    <w:rsid w:val="00590248"/>
    <w:rsid w:val="00721ADE"/>
    <w:rsid w:val="00804601"/>
    <w:rsid w:val="00863A13"/>
    <w:rsid w:val="0088110B"/>
    <w:rsid w:val="008F6A89"/>
    <w:rsid w:val="009146FD"/>
    <w:rsid w:val="00915DCC"/>
    <w:rsid w:val="00976400"/>
    <w:rsid w:val="009A74D7"/>
    <w:rsid w:val="009B6A8E"/>
    <w:rsid w:val="009F5BD5"/>
    <w:rsid w:val="00AB7418"/>
    <w:rsid w:val="00B93466"/>
    <w:rsid w:val="00C111EE"/>
    <w:rsid w:val="00C24F1F"/>
    <w:rsid w:val="00D14CB4"/>
    <w:rsid w:val="00DE4B08"/>
    <w:rsid w:val="00EE62C2"/>
    <w:rsid w:val="00F62AEF"/>
  </w:rsids>
  <m:mathPr>
    <m:mathFont m:val="Cambria Math"/>
    <m:brkBin m:val="before"/>
    <m:brkBinSub m:val="--"/>
    <m:smallFrac m:val="0"/>
    <m:dispDef/>
    <m:lMargin m:val="0"/>
    <m:rMargin m:val="0"/>
    <m:defJc m:val="centerGroup"/>
    <m:wrapIndent m:val="1440"/>
    <m:intLim m:val="subSup"/>
    <m:naryLim m:val="undOvr"/>
  </m:mathPr>
  <w:themeFontLang w:val="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540945-2171-44CA-9157-8AF80372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r"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1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14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6FD"/>
    <w:rPr>
      <w:rFonts w:ascii="Segoe UI" w:hAnsi="Segoe UI" w:cs="Segoe UI"/>
      <w:sz w:val="18"/>
      <w:szCs w:val="18"/>
    </w:rPr>
  </w:style>
  <w:style w:type="paragraph" w:styleId="NoSpacing">
    <w:name w:val="No Spacing"/>
    <w:uiPriority w:val="1"/>
    <w:qFormat/>
    <w:rsid w:val="009146FD"/>
  </w:style>
  <w:style w:type="paragraph" w:styleId="Header">
    <w:name w:val="header"/>
    <w:basedOn w:val="Normal"/>
    <w:link w:val="HeaderChar"/>
    <w:uiPriority w:val="99"/>
    <w:unhideWhenUsed/>
    <w:rsid w:val="00377530"/>
    <w:pPr>
      <w:tabs>
        <w:tab w:val="center" w:pos="4680"/>
        <w:tab w:val="right" w:pos="9360"/>
      </w:tabs>
    </w:pPr>
  </w:style>
  <w:style w:type="character" w:customStyle="1" w:styleId="HeaderChar">
    <w:name w:val="Header Char"/>
    <w:basedOn w:val="DefaultParagraphFont"/>
    <w:link w:val="Header"/>
    <w:uiPriority w:val="99"/>
    <w:rsid w:val="00377530"/>
  </w:style>
  <w:style w:type="paragraph" w:styleId="Footer">
    <w:name w:val="footer"/>
    <w:basedOn w:val="Normal"/>
    <w:link w:val="FooterChar"/>
    <w:uiPriority w:val="99"/>
    <w:unhideWhenUsed/>
    <w:rsid w:val="00377530"/>
    <w:pPr>
      <w:tabs>
        <w:tab w:val="center" w:pos="4680"/>
        <w:tab w:val="right" w:pos="9360"/>
      </w:tabs>
    </w:pPr>
  </w:style>
  <w:style w:type="character" w:customStyle="1" w:styleId="FooterChar">
    <w:name w:val="Footer Char"/>
    <w:basedOn w:val="DefaultParagraphFont"/>
    <w:link w:val="Footer"/>
    <w:uiPriority w:val="99"/>
    <w:rsid w:val="00377530"/>
  </w:style>
  <w:style w:type="paragraph" w:styleId="Revision">
    <w:name w:val="Revision"/>
    <w:hidden/>
    <w:uiPriority w:val="99"/>
    <w:semiHidden/>
    <w:rsid w:val="00590248"/>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Parental Notification of Specialized Language Services</vt:lpstr>
    </vt:vector>
  </TitlesOfParts>
  <Company>Louisiana Department of Education</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إخطار للوالدين بالخدمات اللغوية المتخصصة</dc:title>
  <dc:creator>إدارة ولاية لويزيانا التعليمية</dc:creator>
  <cp:lastModifiedBy>Melanie A. Mayeux</cp:lastModifiedBy>
  <cp:revision>2</cp:revision>
  <dcterms:created xsi:type="dcterms:W3CDTF">2020-08-17T15:02:00Z</dcterms:created>
  <dcterms:modified xsi:type="dcterms:W3CDTF">2020-08-17T15:02:00Z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2015-12-09T00:00:00Z</vt:filetime>
  </property>
  <property fmtid="{D5CDD505-2E9C-101B-9397-08002B2CF9AE}" pid="3" name="LastSaved">
    <vt:filetime>2018-03-08T00:00:00Z</vt:filetime>
  </property>
</Properties>
</file>